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74D48" w14:textId="77777777" w:rsidR="00D0017F" w:rsidRPr="00D0017F" w:rsidRDefault="00D0017F" w:rsidP="00D47147">
      <w:pPr>
        <w:jc w:val="center"/>
        <w:rPr>
          <w:sz w:val="28"/>
          <w:szCs w:val="28"/>
        </w:rPr>
      </w:pPr>
      <w:r w:rsidRPr="00D0017F">
        <w:rPr>
          <w:sz w:val="28"/>
          <w:szCs w:val="28"/>
        </w:rPr>
        <w:t>Three jurisdictions’ progress towards universal postsecondary education</w:t>
      </w:r>
    </w:p>
    <w:p w14:paraId="46DB1762" w14:textId="77777777" w:rsidR="00D0017F" w:rsidRDefault="00D0017F" w:rsidP="00D47147"/>
    <w:p w14:paraId="7BECBC3D" w14:textId="10779093" w:rsidR="00D0017F" w:rsidRDefault="00D0017F" w:rsidP="00D47147">
      <w:pPr>
        <w:jc w:val="center"/>
      </w:pPr>
      <w:r>
        <w:t>Gavin Moodie, RMIT</w:t>
      </w:r>
    </w:p>
    <w:p w14:paraId="1597132C" w14:textId="77777777" w:rsidR="00D0017F" w:rsidRDefault="00D0017F" w:rsidP="00D47147"/>
    <w:p w14:paraId="17A4698D" w14:textId="550896E7" w:rsidR="00F1414F" w:rsidRPr="00F1414F" w:rsidRDefault="00F1414F" w:rsidP="00D47147">
      <w:r>
        <w:t xml:space="preserve">Paper prepared for the </w:t>
      </w:r>
      <w:r w:rsidRPr="00F1414F">
        <w:t>Comparative and International Education Society annual conference, 11 March 2014</w:t>
      </w:r>
      <w:r w:rsidR="006E4F64">
        <w:t>, Toronto</w:t>
      </w:r>
      <w:r w:rsidR="00512118">
        <w:t>.</w:t>
      </w:r>
    </w:p>
    <w:p w14:paraId="5C727A56" w14:textId="2ECC1AD9" w:rsidR="00F1414F" w:rsidRDefault="00F1414F" w:rsidP="00D47147"/>
    <w:p w14:paraId="4F4A9127" w14:textId="3380D10C" w:rsidR="00F1414F" w:rsidRPr="00F1414F" w:rsidRDefault="00F1414F" w:rsidP="00D47147">
      <w:pPr>
        <w:pStyle w:val="Heading1"/>
        <w:spacing w:before="0" w:after="0"/>
        <w:ind w:left="567" w:right="1239"/>
        <w:rPr>
          <w:rFonts w:ascii="Times New Roman" w:hAnsi="Times New Roman" w:cs="Times New Roman"/>
          <w:sz w:val="24"/>
          <w:szCs w:val="24"/>
        </w:rPr>
      </w:pPr>
      <w:r w:rsidRPr="00F1414F">
        <w:rPr>
          <w:rFonts w:ascii="Times New Roman" w:hAnsi="Times New Roman" w:cs="Times New Roman"/>
          <w:sz w:val="24"/>
          <w:szCs w:val="24"/>
        </w:rPr>
        <w:t>Abstract</w:t>
      </w:r>
    </w:p>
    <w:p w14:paraId="7AAF55F0" w14:textId="77777777" w:rsidR="00F1414F" w:rsidRPr="00F1414F" w:rsidRDefault="00F1414F" w:rsidP="00D47147">
      <w:pPr>
        <w:ind w:left="567" w:right="1239"/>
      </w:pPr>
    </w:p>
    <w:p w14:paraId="1EB63AD5" w14:textId="2AD91062" w:rsidR="00D43FE0" w:rsidRDefault="00F1414F" w:rsidP="00D47147">
      <w:pPr>
        <w:ind w:left="567" w:right="1381"/>
        <w:rPr>
          <w:color w:val="222222"/>
        </w:rPr>
      </w:pPr>
      <w:r w:rsidRPr="00F001A5">
        <w:rPr>
          <w:color w:val="000000"/>
        </w:rPr>
        <w:t xml:space="preserve">This paper </w:t>
      </w:r>
      <w:r>
        <w:rPr>
          <w:color w:val="000000"/>
        </w:rPr>
        <w:t xml:space="preserve">examines the policies to achieve universal participation in postsecondary education of 3 governments: those of Ontario, the UK (for England) and Australia. </w:t>
      </w:r>
      <w:r w:rsidRPr="00F001A5">
        <w:rPr>
          <w:color w:val="222222"/>
        </w:rPr>
        <w:t>All 3 jurisdictions have high tuition fees and</w:t>
      </w:r>
      <w:r>
        <w:rPr>
          <w:color w:val="222222"/>
        </w:rPr>
        <w:t xml:space="preserve"> already</w:t>
      </w:r>
      <w:r w:rsidRPr="00F001A5">
        <w:rPr>
          <w:color w:val="222222"/>
        </w:rPr>
        <w:t xml:space="preserve"> </w:t>
      </w:r>
      <w:r>
        <w:rPr>
          <w:color w:val="222222"/>
        </w:rPr>
        <w:t xml:space="preserve">have </w:t>
      </w:r>
      <w:r w:rsidRPr="00F001A5">
        <w:rPr>
          <w:color w:val="222222"/>
        </w:rPr>
        <w:t xml:space="preserve">high access </w:t>
      </w:r>
      <w:r>
        <w:rPr>
          <w:color w:val="222222"/>
        </w:rPr>
        <w:t xml:space="preserve">yet </w:t>
      </w:r>
      <w:r w:rsidRPr="00F001A5">
        <w:rPr>
          <w:color w:val="222222"/>
        </w:rPr>
        <w:t xml:space="preserve">seek to further increase participation and attainment. But they do </w:t>
      </w:r>
      <w:r>
        <w:rPr>
          <w:color w:val="222222"/>
        </w:rPr>
        <w:t>so</w:t>
      </w:r>
      <w:r w:rsidRPr="00F001A5">
        <w:rPr>
          <w:color w:val="222222"/>
        </w:rPr>
        <w:t xml:space="preserve"> in very different ways. </w:t>
      </w:r>
      <w:r>
        <w:rPr>
          <w:color w:val="222222"/>
        </w:rPr>
        <w:t>The paper c</w:t>
      </w:r>
      <w:r w:rsidRPr="00F001A5">
        <w:rPr>
          <w:color w:val="222222"/>
        </w:rPr>
        <w:t>ompare</w:t>
      </w:r>
      <w:r>
        <w:rPr>
          <w:color w:val="222222"/>
        </w:rPr>
        <w:t>s</w:t>
      </w:r>
      <w:r w:rsidRPr="00F001A5">
        <w:rPr>
          <w:color w:val="222222"/>
        </w:rPr>
        <w:t xml:space="preserve"> the </w:t>
      </w:r>
      <w:r>
        <w:rPr>
          <w:color w:val="222222"/>
        </w:rPr>
        <w:t xml:space="preserve">governments’ policies on </w:t>
      </w:r>
      <w:r w:rsidR="008E3C27">
        <w:rPr>
          <w:color w:val="222222"/>
        </w:rPr>
        <w:t>financing</w:t>
      </w:r>
      <w:r>
        <w:rPr>
          <w:color w:val="222222"/>
        </w:rPr>
        <w:t>, relations</w:t>
      </w:r>
      <w:r w:rsidRPr="00F001A5">
        <w:rPr>
          <w:color w:val="222222"/>
        </w:rPr>
        <w:t xml:space="preserve"> between institutions</w:t>
      </w:r>
      <w:r w:rsidR="008E3C27">
        <w:rPr>
          <w:color w:val="222222"/>
        </w:rPr>
        <w:t>, the</w:t>
      </w:r>
      <w:r>
        <w:rPr>
          <w:color w:val="222222"/>
        </w:rPr>
        <w:t xml:space="preserve"> </w:t>
      </w:r>
      <w:r w:rsidRPr="00F001A5">
        <w:rPr>
          <w:color w:val="222222"/>
        </w:rPr>
        <w:t>in</w:t>
      </w:r>
      <w:r>
        <w:rPr>
          <w:color w:val="222222"/>
        </w:rPr>
        <w:t>volvement o</w:t>
      </w:r>
      <w:r w:rsidRPr="00F001A5">
        <w:rPr>
          <w:color w:val="222222"/>
        </w:rPr>
        <w:t>f community colleges</w:t>
      </w:r>
      <w:r w:rsidR="00D43FE0">
        <w:rPr>
          <w:color w:val="222222"/>
        </w:rPr>
        <w:t xml:space="preserve"> </w:t>
      </w:r>
      <w:r w:rsidR="008E3C27">
        <w:rPr>
          <w:color w:val="222222"/>
        </w:rPr>
        <w:t xml:space="preserve">and the role of private institutions </w:t>
      </w:r>
      <w:r w:rsidR="00D43FE0">
        <w:rPr>
          <w:color w:val="222222"/>
        </w:rPr>
        <w:t>in progressing towards universal postsecondary education</w:t>
      </w:r>
      <w:r w:rsidRPr="00F001A5">
        <w:rPr>
          <w:color w:val="222222"/>
        </w:rPr>
        <w:t>.</w:t>
      </w:r>
      <w:r w:rsidR="00FB4DE8">
        <w:rPr>
          <w:color w:val="222222"/>
        </w:rPr>
        <w:t xml:space="preserve"> The </w:t>
      </w:r>
      <w:r w:rsidR="00D43FE0">
        <w:rPr>
          <w:color w:val="222222"/>
        </w:rPr>
        <w:t>paper finds two different approaches to achieving government goals</w:t>
      </w:r>
      <w:r w:rsidR="0073162E">
        <w:rPr>
          <w:color w:val="222222"/>
        </w:rPr>
        <w:t xml:space="preserve"> in higher education</w:t>
      </w:r>
      <w:r w:rsidR="00D43FE0">
        <w:rPr>
          <w:color w:val="222222"/>
        </w:rPr>
        <w:t xml:space="preserve"> – by formal planning and by constructing a market – and </w:t>
      </w:r>
      <w:r w:rsidR="0073162E">
        <w:rPr>
          <w:color w:val="222222"/>
        </w:rPr>
        <w:t>suggests that each is</w:t>
      </w:r>
      <w:r w:rsidR="00D43FE0">
        <w:rPr>
          <w:color w:val="222222"/>
        </w:rPr>
        <w:t xml:space="preserve"> likely to achieve the goals government set for them.</w:t>
      </w:r>
    </w:p>
    <w:p w14:paraId="3A222A09" w14:textId="77777777" w:rsidR="00FB4DE8" w:rsidRDefault="00FB4DE8" w:rsidP="00D47147"/>
    <w:p w14:paraId="4BB364B3" w14:textId="07F7C8BF" w:rsidR="00FB4DE8" w:rsidRPr="00F1414F" w:rsidRDefault="00FB4DE8" w:rsidP="00D47147">
      <w:pPr>
        <w:pStyle w:val="Heading1"/>
        <w:spacing w:before="0" w:after="0"/>
        <w:rPr>
          <w:rFonts w:ascii="Times New Roman" w:hAnsi="Times New Roman" w:cs="Times New Roman"/>
          <w:sz w:val="24"/>
          <w:szCs w:val="24"/>
        </w:rPr>
      </w:pPr>
      <w:r>
        <w:rPr>
          <w:rFonts w:ascii="Times New Roman" w:hAnsi="Times New Roman" w:cs="Times New Roman"/>
          <w:sz w:val="24"/>
          <w:szCs w:val="24"/>
        </w:rPr>
        <w:t>Introduction</w:t>
      </w:r>
    </w:p>
    <w:p w14:paraId="3C2B012B" w14:textId="77777777" w:rsidR="00FB4DE8" w:rsidRPr="00FA21E5" w:rsidRDefault="00FB4DE8" w:rsidP="00D47147"/>
    <w:p w14:paraId="0A0E5D13" w14:textId="3F27D5D4" w:rsidR="00FA21E5" w:rsidRDefault="00D47147" w:rsidP="00D47147">
      <w:r>
        <w:t>T</w:t>
      </w:r>
      <w:r w:rsidR="00FA21E5">
        <w:t xml:space="preserve">he </w:t>
      </w:r>
      <w:r w:rsidR="00FA21E5" w:rsidRPr="00D47147">
        <w:t>Lieutenant Governor of Ontario</w:t>
      </w:r>
      <w:r w:rsidRPr="00D47147">
        <w:t>’</w:t>
      </w:r>
      <w:r>
        <w:t>s speech from the t</w:t>
      </w:r>
      <w:r w:rsidRPr="00D47147">
        <w:t>hrone opening Parliament o</w:t>
      </w:r>
      <w:r>
        <w:t>n 8 March 2010 stated –</w:t>
      </w:r>
    </w:p>
    <w:p w14:paraId="57F4C897" w14:textId="77777777" w:rsidR="00FA21E5" w:rsidRPr="00FA21E5" w:rsidRDefault="00FA21E5" w:rsidP="00D47147">
      <w:pPr>
        <w:rPr>
          <w:color w:val="222222"/>
        </w:rPr>
      </w:pPr>
    </w:p>
    <w:p w14:paraId="7FEEADCD" w14:textId="77777777" w:rsidR="00D47147" w:rsidRPr="00D47147" w:rsidRDefault="00FA21E5" w:rsidP="00D47147">
      <w:pPr>
        <w:ind w:left="567" w:right="1381"/>
        <w:rPr>
          <w:color w:val="222222"/>
        </w:rPr>
      </w:pPr>
      <w:r w:rsidRPr="00D47147">
        <w:rPr>
          <w:color w:val="222222"/>
        </w:rPr>
        <w:t>Ontario has one of the highest rates of postsecondary education in the world at 62 per cent. Since 2003, your government has added 180,000 students to our colleges, uni</w:t>
      </w:r>
      <w:r w:rsidR="00D47147" w:rsidRPr="00D47147">
        <w:rPr>
          <w:color w:val="222222"/>
        </w:rPr>
        <w:t>versities and apprenticeships.</w:t>
      </w:r>
    </w:p>
    <w:p w14:paraId="31A874E8" w14:textId="77777777" w:rsidR="00D47147" w:rsidRPr="00D47147" w:rsidRDefault="00D47147" w:rsidP="00D47147">
      <w:pPr>
        <w:ind w:left="567" w:right="1381"/>
        <w:rPr>
          <w:color w:val="222222"/>
        </w:rPr>
      </w:pPr>
    </w:p>
    <w:p w14:paraId="59EB5CEC" w14:textId="77777777" w:rsidR="00D47147" w:rsidRPr="00D47147" w:rsidRDefault="00FA21E5" w:rsidP="00D47147">
      <w:pPr>
        <w:ind w:left="567" w:right="1381"/>
        <w:rPr>
          <w:color w:val="222222"/>
        </w:rPr>
      </w:pPr>
      <w:r w:rsidRPr="00D47147">
        <w:rPr>
          <w:color w:val="222222"/>
        </w:rPr>
        <w:t>But we need to reach even higher, knowing that in the new world, 70 per cent of all new jobs will require postse</w:t>
      </w:r>
      <w:r w:rsidR="00D47147" w:rsidRPr="00D47147">
        <w:rPr>
          <w:color w:val="222222"/>
        </w:rPr>
        <w:t>condary education.</w:t>
      </w:r>
    </w:p>
    <w:p w14:paraId="2892E185" w14:textId="77777777" w:rsidR="00D47147" w:rsidRPr="00D47147" w:rsidRDefault="00D47147" w:rsidP="00D47147">
      <w:pPr>
        <w:ind w:left="567" w:right="1381"/>
        <w:rPr>
          <w:color w:val="222222"/>
        </w:rPr>
      </w:pPr>
    </w:p>
    <w:p w14:paraId="7A2D0E77" w14:textId="77777777" w:rsidR="00D47147" w:rsidRPr="00D47147" w:rsidRDefault="00FA21E5" w:rsidP="00D47147">
      <w:pPr>
        <w:ind w:left="567" w:right="1381"/>
        <w:rPr>
          <w:color w:val="222222"/>
        </w:rPr>
      </w:pPr>
      <w:r w:rsidRPr="00D47147">
        <w:rPr>
          <w:color w:val="222222"/>
        </w:rPr>
        <w:t>So your government's Open Ontario Plan will raise Ontario's post</w:t>
      </w:r>
      <w:r w:rsidR="00D47147" w:rsidRPr="00D47147">
        <w:rPr>
          <w:color w:val="222222"/>
        </w:rPr>
        <w:t>secondary rate to 70 per cent.</w:t>
      </w:r>
    </w:p>
    <w:p w14:paraId="29436E7D" w14:textId="77777777" w:rsidR="00D47147" w:rsidRPr="00D47147" w:rsidRDefault="00D47147" w:rsidP="00D47147">
      <w:pPr>
        <w:ind w:left="567" w:right="1381"/>
        <w:rPr>
          <w:color w:val="222222"/>
        </w:rPr>
      </w:pPr>
    </w:p>
    <w:p w14:paraId="35D8234C" w14:textId="77777777" w:rsidR="00D47147" w:rsidRPr="00D47147" w:rsidRDefault="00FA21E5" w:rsidP="00D47147">
      <w:pPr>
        <w:ind w:left="567" w:right="1381"/>
        <w:rPr>
          <w:color w:val="222222"/>
        </w:rPr>
      </w:pPr>
      <w:r w:rsidRPr="00D47147">
        <w:rPr>
          <w:color w:val="222222"/>
        </w:rPr>
        <w:t xml:space="preserve">Your government's plan begins with increasing spaces in colleges and universities </w:t>
      </w:r>
      <w:r w:rsidR="00D47147" w:rsidRPr="00D47147">
        <w:rPr>
          <w:color w:val="222222"/>
        </w:rPr>
        <w:t>for 20,000 students this year.</w:t>
      </w:r>
    </w:p>
    <w:p w14:paraId="7E26583E" w14:textId="77777777" w:rsidR="00D47147" w:rsidRPr="00D47147" w:rsidRDefault="00D47147" w:rsidP="00D47147">
      <w:pPr>
        <w:ind w:left="567" w:right="1381"/>
        <w:rPr>
          <w:color w:val="222222"/>
        </w:rPr>
      </w:pPr>
    </w:p>
    <w:p w14:paraId="458CDD17" w14:textId="77777777" w:rsidR="00D47147" w:rsidRPr="00D47147" w:rsidRDefault="00FA21E5" w:rsidP="00D47147">
      <w:pPr>
        <w:ind w:left="567" w:right="1381"/>
        <w:rPr>
          <w:color w:val="222222"/>
        </w:rPr>
      </w:pPr>
      <w:r w:rsidRPr="00D47147">
        <w:rPr>
          <w:color w:val="222222"/>
        </w:rPr>
        <w:t>That's the equivalent of a w</w:t>
      </w:r>
      <w:r w:rsidR="00D47147" w:rsidRPr="00D47147">
        <w:rPr>
          <w:color w:val="222222"/>
        </w:rPr>
        <w:t>hole new University of Guelph.</w:t>
      </w:r>
    </w:p>
    <w:p w14:paraId="5B12B96D" w14:textId="77777777" w:rsidR="00D47147" w:rsidRPr="00D47147" w:rsidRDefault="00D47147" w:rsidP="00D47147">
      <w:pPr>
        <w:ind w:left="567" w:right="1381"/>
        <w:rPr>
          <w:color w:val="222222"/>
        </w:rPr>
      </w:pPr>
    </w:p>
    <w:p w14:paraId="78607957" w14:textId="4395F832" w:rsidR="00D47147" w:rsidRPr="00D47147" w:rsidRDefault="00514652" w:rsidP="00D47147">
      <w:pPr>
        <w:ind w:left="567" w:right="1381"/>
        <w:rPr>
          <w:color w:val="222222"/>
        </w:rPr>
      </w:pPr>
      <w:r>
        <w:rPr>
          <w:color w:val="222222"/>
        </w:rPr>
        <w:t>Under your government’</w:t>
      </w:r>
      <w:r w:rsidR="00FA21E5" w:rsidRPr="00D47147">
        <w:rPr>
          <w:color w:val="222222"/>
        </w:rPr>
        <w:t>s Open Ontario Plan, every qualified Ontarian who wants to go to college or university will find a place.</w:t>
      </w:r>
    </w:p>
    <w:p w14:paraId="51F78061" w14:textId="77777777" w:rsidR="00D47147" w:rsidRPr="00D47147" w:rsidRDefault="00D47147" w:rsidP="00D47147">
      <w:pPr>
        <w:ind w:left="567" w:right="1381"/>
        <w:rPr>
          <w:color w:val="222222"/>
        </w:rPr>
      </w:pPr>
    </w:p>
    <w:p w14:paraId="30A37958" w14:textId="77777777" w:rsidR="00D47147" w:rsidRDefault="00D47147" w:rsidP="00D47147">
      <w:pPr>
        <w:ind w:left="567" w:right="1381"/>
        <w:jc w:val="right"/>
        <w:rPr>
          <w:color w:val="222222"/>
        </w:rPr>
      </w:pPr>
      <w:r>
        <w:rPr>
          <w:color w:val="222222"/>
        </w:rPr>
        <w:t xml:space="preserve">(Government of Ontario, </w:t>
      </w:r>
      <w:r w:rsidR="00FA21E5" w:rsidRPr="00D47147">
        <w:rPr>
          <w:color w:val="222222"/>
        </w:rPr>
        <w:t>2010)</w:t>
      </w:r>
    </w:p>
    <w:p w14:paraId="074B2403" w14:textId="77777777" w:rsidR="00FA21E5" w:rsidRDefault="00FA21E5" w:rsidP="00D47147">
      <w:pPr>
        <w:rPr>
          <w:color w:val="222222"/>
        </w:rPr>
      </w:pPr>
    </w:p>
    <w:p w14:paraId="415F1A43" w14:textId="4FD1C2D8" w:rsidR="00D47147" w:rsidRDefault="00D47147" w:rsidP="00D47147">
      <w:r>
        <w:rPr>
          <w:color w:val="222222"/>
        </w:rPr>
        <w:t xml:space="preserve">This undertaking has been reiterated several times by Ontario’s </w:t>
      </w:r>
      <w:r w:rsidRPr="00FA21E5">
        <w:t>Ministry of Training, Colleges and Universities</w:t>
      </w:r>
      <w:r>
        <w:t xml:space="preserve"> (2012, 2013</w:t>
      </w:r>
      <w:r w:rsidR="00343A5B">
        <w:t>b</w:t>
      </w:r>
      <w:r w:rsidR="00FC425C">
        <w:t>: 5</w:t>
      </w:r>
      <w:r>
        <w:t xml:space="preserve">). </w:t>
      </w:r>
    </w:p>
    <w:p w14:paraId="47881923" w14:textId="77777777" w:rsidR="00CB2225" w:rsidRDefault="00CB2225" w:rsidP="00D47147"/>
    <w:p w14:paraId="7C5D4F00" w14:textId="3D2CC797" w:rsidR="007C14DD" w:rsidRPr="007D4ED2" w:rsidRDefault="00132585" w:rsidP="00BC45F7">
      <w:pPr>
        <w:ind w:right="-37"/>
      </w:pPr>
      <w:r>
        <w:rPr>
          <w:color w:val="000000"/>
        </w:rPr>
        <w:lastRenderedPageBreak/>
        <w:t>While the UK Government has no</w:t>
      </w:r>
      <w:r w:rsidR="007C14DD">
        <w:rPr>
          <w:color w:val="000000"/>
        </w:rPr>
        <w:t xml:space="preserve"> post compulsory</w:t>
      </w:r>
      <w:r>
        <w:rPr>
          <w:color w:val="000000"/>
        </w:rPr>
        <w:t xml:space="preserve"> education participation target</w:t>
      </w:r>
      <w:r w:rsidR="00343A5B">
        <w:rPr>
          <w:color w:val="000000"/>
        </w:rPr>
        <w:t xml:space="preserve"> for England</w:t>
      </w:r>
      <w:r w:rsidR="007C14DD">
        <w:rPr>
          <w:color w:val="000000"/>
        </w:rPr>
        <w:t xml:space="preserve">, </w:t>
      </w:r>
      <w:r w:rsidR="00F50882">
        <w:rPr>
          <w:color w:val="000000"/>
        </w:rPr>
        <w:t xml:space="preserve">like Ontario </w:t>
      </w:r>
      <w:r w:rsidR="007C14DD">
        <w:rPr>
          <w:color w:val="000000"/>
        </w:rPr>
        <w:t>it has expanded enrolments considerably</w:t>
      </w:r>
      <w:r w:rsidR="00F50882">
        <w:rPr>
          <w:color w:val="000000"/>
        </w:rPr>
        <w:t xml:space="preserve"> and wants a place to be available to all qualified applicants</w:t>
      </w:r>
      <w:r w:rsidR="007C14DD">
        <w:rPr>
          <w:color w:val="000000"/>
        </w:rPr>
        <w:t xml:space="preserve">. In its higher education white paper </w:t>
      </w:r>
      <w:r w:rsidR="007C14DD" w:rsidRPr="00B56AB0">
        <w:rPr>
          <w:i/>
        </w:rPr>
        <w:t>Higher education: students at the heart of the system</w:t>
      </w:r>
      <w:r w:rsidR="007C14DD">
        <w:rPr>
          <w:color w:val="000000"/>
        </w:rPr>
        <w:t xml:space="preserve"> (</w:t>
      </w:r>
      <w:r w:rsidR="007C14DD">
        <w:t>Department for Business Innovation and Skills, 2011: 49) the UK Government stated –</w:t>
      </w:r>
    </w:p>
    <w:p w14:paraId="22ACABB6" w14:textId="77777777" w:rsidR="007C14DD" w:rsidRPr="007D4ED2" w:rsidRDefault="007C14DD" w:rsidP="007C14DD">
      <w:pPr>
        <w:ind w:left="567" w:right="1381"/>
        <w:rPr>
          <w:color w:val="222222"/>
        </w:rPr>
      </w:pPr>
    </w:p>
    <w:p w14:paraId="55443092" w14:textId="77777777" w:rsidR="007C14DD" w:rsidRDefault="007C14DD" w:rsidP="007C14DD">
      <w:pPr>
        <w:ind w:left="1134" w:right="1381" w:hanging="567"/>
        <w:rPr>
          <w:color w:val="222222"/>
        </w:rPr>
      </w:pPr>
      <w:r>
        <w:rPr>
          <w:color w:val="222222"/>
        </w:rPr>
        <w:t>4.15</w:t>
      </w:r>
      <w:r>
        <w:rPr>
          <w:color w:val="222222"/>
        </w:rPr>
        <w:tab/>
      </w:r>
      <w:r w:rsidRPr="007D4ED2">
        <w:rPr>
          <w:color w:val="222222"/>
        </w:rPr>
        <w:t>We have no target for the “right” size of the higher education system but believe it should evolve in response to demand from students and employers, reflecting particularly the wider needs of the economy. Subject to expenditure constraints, we endorse the principle enunciated in the Robbins report that “courses of higher education should be available for all those who are qualified by ability and attainment to pursue them and who wish to do so.”</w:t>
      </w:r>
    </w:p>
    <w:p w14:paraId="34082782" w14:textId="77777777" w:rsidR="007C14DD" w:rsidRDefault="007C14DD" w:rsidP="007C14DD">
      <w:pPr>
        <w:ind w:left="1134" w:right="1381" w:hanging="567"/>
        <w:jc w:val="right"/>
        <w:rPr>
          <w:color w:val="000000"/>
        </w:rPr>
      </w:pPr>
    </w:p>
    <w:p w14:paraId="37E0713B" w14:textId="77777777" w:rsidR="007C14DD" w:rsidRPr="007D4ED2" w:rsidRDefault="007C14DD" w:rsidP="007C14DD">
      <w:pPr>
        <w:ind w:left="1134" w:right="1381" w:hanging="567"/>
        <w:jc w:val="right"/>
        <w:rPr>
          <w:color w:val="222222"/>
        </w:rPr>
      </w:pPr>
      <w:r>
        <w:rPr>
          <w:color w:val="000000"/>
        </w:rPr>
        <w:t>(</w:t>
      </w:r>
      <w:r>
        <w:t>Department for Business Innovation and Skills, 2011: 49)</w:t>
      </w:r>
    </w:p>
    <w:p w14:paraId="4F0C1586" w14:textId="77777777" w:rsidR="004656A4" w:rsidRDefault="004656A4" w:rsidP="007C14DD">
      <w:pPr>
        <w:pStyle w:val="Default"/>
        <w:rPr>
          <w:rStyle w:val="A3"/>
          <w:rFonts w:ascii="Times New Roman" w:hAnsi="Times New Roman" w:cs="Times New Roman"/>
          <w:b w:val="0"/>
          <w:sz w:val="24"/>
          <w:szCs w:val="24"/>
        </w:rPr>
      </w:pPr>
    </w:p>
    <w:p w14:paraId="1744C280" w14:textId="5757D60B" w:rsidR="007C14DD" w:rsidRDefault="00132585" w:rsidP="00D47147">
      <w:r>
        <w:t>The Council of Australian federal and state g</w:t>
      </w:r>
      <w:r w:rsidR="004656A4">
        <w:t>overnments (</w:t>
      </w:r>
      <w:r>
        <w:t xml:space="preserve">Coag, </w:t>
      </w:r>
      <w:r w:rsidR="004656A4">
        <w:t xml:space="preserve">2008) agreed to double the number of students completing </w:t>
      </w:r>
      <w:r>
        <w:t xml:space="preserve">short cycle higher education </w:t>
      </w:r>
      <w:r w:rsidR="004656A4">
        <w:t>diplomas and advanced diplomas</w:t>
      </w:r>
      <w:r>
        <w:t xml:space="preserve"> </w:t>
      </w:r>
      <w:r w:rsidR="004656A4">
        <w:t xml:space="preserve">from 2009 to 2020. </w:t>
      </w:r>
      <w:r>
        <w:t>The former federal</w:t>
      </w:r>
      <w:r w:rsidR="007C14DD">
        <w:t xml:space="preserve"> Government </w:t>
      </w:r>
      <w:r w:rsidR="007D64CB">
        <w:t xml:space="preserve">further </w:t>
      </w:r>
      <w:r w:rsidR="00790F70">
        <w:t>aimed to increase the proportion of 25-35 year olds with a bachelor degree or above from 32% in 2009 to 40% by 2025 (Gillard, 2013).</w:t>
      </w:r>
      <w:r w:rsidR="00B42065">
        <w:t xml:space="preserve"> The new Government is unlikely to adopt a public target and has not yet stated its position on higher education participation or attainment. </w:t>
      </w:r>
    </w:p>
    <w:p w14:paraId="3339F670" w14:textId="77777777" w:rsidR="00B42065" w:rsidRDefault="00B42065" w:rsidP="00D47147"/>
    <w:p w14:paraId="3DB52173" w14:textId="16F811EF" w:rsidR="00D178F2" w:rsidRDefault="00D178F2" w:rsidP="00786B34">
      <w:pPr>
        <w:widowControl w:val="0"/>
        <w:autoSpaceDE w:val="0"/>
        <w:autoSpaceDN w:val="0"/>
        <w:adjustRightInd w:val="0"/>
      </w:pPr>
      <w:r>
        <w:t>Unfortunately</w:t>
      </w:r>
      <w:r w:rsidR="00F50882">
        <w:t xml:space="preserve"> the OECD’s</w:t>
      </w:r>
      <w:r>
        <w:t xml:space="preserve"> </w:t>
      </w:r>
      <w:r w:rsidRPr="00D178F2">
        <w:rPr>
          <w:i/>
        </w:rPr>
        <w:t>Education at a glance</w:t>
      </w:r>
      <w:r>
        <w:t xml:space="preserve"> indicator C3 on tertiary entry rates has too much data missing for the countries </w:t>
      </w:r>
      <w:r w:rsidR="00F4666A">
        <w:t>of interest</w:t>
      </w:r>
      <w:r w:rsidR="00F234BB">
        <w:t xml:space="preserve"> to inform this</w:t>
      </w:r>
      <w:r>
        <w:t xml:space="preserve"> paper. However, </w:t>
      </w:r>
      <w:r w:rsidR="00F4666A">
        <w:t xml:space="preserve">the OECD’s (2013) data on graduation rates are reasonably complete for the countries of interest to this paper, and </w:t>
      </w:r>
      <w:r w:rsidR="00F234BB">
        <w:t>show that tertiary education attainment has been steadily increasing since 1995 and is above 50% for Australia, Canada and the UK, and is 49% for the US and the OECD (</w:t>
      </w:r>
      <w:r w:rsidR="00F234BB">
        <w:fldChar w:fldCharType="begin"/>
      </w:r>
      <w:r w:rsidR="00F234BB">
        <w:instrText xml:space="preserve"> REF _Ref255646295 \h </w:instrText>
      </w:r>
      <w:r w:rsidR="00F234BB">
        <w:fldChar w:fldCharType="separate"/>
      </w:r>
      <w:r w:rsidR="00B83978">
        <w:t xml:space="preserve">Table </w:t>
      </w:r>
      <w:r w:rsidR="00B83978">
        <w:rPr>
          <w:noProof/>
        </w:rPr>
        <w:t>1</w:t>
      </w:r>
      <w:r w:rsidR="00F234BB">
        <w:fldChar w:fldCharType="end"/>
      </w:r>
      <w:r w:rsidR="004656A4">
        <w:t xml:space="preserve">). </w:t>
      </w:r>
      <w:r w:rsidR="00786B34">
        <w:t xml:space="preserve">Tertiary type A programs are more theoretical, prepare graduates for entry into research degrees or elite occupations, and take at least 3 years’ study. Tertiary type B programs concentrate on </w:t>
      </w:r>
      <w:r w:rsidR="00786B34" w:rsidRPr="00786B34">
        <w:t>practical, techn</w:t>
      </w:r>
      <w:r w:rsidR="00786B34">
        <w:t xml:space="preserve">ical or occupational skills for </w:t>
      </w:r>
      <w:r w:rsidR="00786B34" w:rsidRPr="00786B34">
        <w:t>direct entry into the labour market</w:t>
      </w:r>
      <w:r w:rsidR="00786B34">
        <w:t xml:space="preserve"> and normally take 2 years. </w:t>
      </w:r>
      <w:r w:rsidR="004656A4">
        <w:t>These figures include attainment by international students which increase</w:t>
      </w:r>
      <w:r w:rsidR="008F54C8">
        <w:t>s</w:t>
      </w:r>
      <w:r w:rsidR="004656A4">
        <w:t xml:space="preserve"> the rates markedly for Australia and the UK particularly.</w:t>
      </w:r>
    </w:p>
    <w:p w14:paraId="4B393D97" w14:textId="1F806014" w:rsidR="00CB2225" w:rsidRDefault="00CB2225" w:rsidP="00D47147"/>
    <w:p w14:paraId="0802A19E" w14:textId="50AF9553" w:rsidR="00CB2225" w:rsidRDefault="00F4666A" w:rsidP="00D47147">
      <w:bookmarkStart w:id="0" w:name="_Ref255646295"/>
      <w:r>
        <w:t xml:space="preserve">Table </w:t>
      </w:r>
      <w:fldSimple w:instr=" SEQ Table \* ARABIC ">
        <w:r w:rsidR="00B83978">
          <w:rPr>
            <w:noProof/>
          </w:rPr>
          <w:t>1</w:t>
        </w:r>
      </w:fldSimple>
      <w:bookmarkEnd w:id="0"/>
      <w:r>
        <w:t xml:space="preserve">: tertiary education graduation rates </w:t>
      </w:r>
      <w:r w:rsidR="007C14DD">
        <w:t xml:space="preserve">for selected countries by type of </w:t>
      </w:r>
      <w:r w:rsidR="00E533D6">
        <w:t xml:space="preserve">tertiary </w:t>
      </w:r>
      <w:r w:rsidR="007C14DD">
        <w:t>education and selected years</w:t>
      </w:r>
      <w:r w:rsidR="00E533D6">
        <w:t>,</w:t>
      </w:r>
      <w:r w:rsidR="007C14DD">
        <w:t xml:space="preserve"> 1995-2010</w:t>
      </w:r>
    </w:p>
    <w:tbl>
      <w:tblPr>
        <w:tblStyle w:val="TableGrid"/>
        <w:tblW w:w="736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588"/>
        <w:gridCol w:w="1951"/>
        <w:gridCol w:w="992"/>
        <w:gridCol w:w="992"/>
        <w:gridCol w:w="851"/>
        <w:gridCol w:w="992"/>
      </w:tblGrid>
      <w:tr w:rsidR="00652E95" w:rsidRPr="000D3FA0" w14:paraId="05DCA9BC" w14:textId="77777777" w:rsidTr="00652E95">
        <w:trPr>
          <w:tblHeader/>
          <w:jc w:val="center"/>
        </w:trPr>
        <w:tc>
          <w:tcPr>
            <w:tcW w:w="1588" w:type="dxa"/>
            <w:tcBorders>
              <w:top w:val="single" w:sz="12" w:space="0" w:color="auto"/>
              <w:bottom w:val="single" w:sz="12" w:space="0" w:color="auto"/>
            </w:tcBorders>
          </w:tcPr>
          <w:p w14:paraId="2BB641E0" w14:textId="4F912D92" w:rsidR="00652E95" w:rsidRDefault="00652E95" w:rsidP="00D47147">
            <w:pPr>
              <w:rPr>
                <w:b/>
              </w:rPr>
            </w:pPr>
            <w:r>
              <w:rPr>
                <w:b/>
              </w:rPr>
              <w:t>Country</w:t>
            </w:r>
          </w:p>
        </w:tc>
        <w:tc>
          <w:tcPr>
            <w:tcW w:w="1951" w:type="dxa"/>
            <w:tcBorders>
              <w:top w:val="single" w:sz="12" w:space="0" w:color="auto"/>
              <w:bottom w:val="single" w:sz="12" w:space="0" w:color="auto"/>
            </w:tcBorders>
          </w:tcPr>
          <w:p w14:paraId="64D5DE92" w14:textId="659640BA" w:rsidR="00652E95" w:rsidRPr="000D3FA0" w:rsidRDefault="00652E95" w:rsidP="00D47147">
            <w:pPr>
              <w:rPr>
                <w:b/>
              </w:rPr>
            </w:pPr>
            <w:r>
              <w:rPr>
                <w:b/>
              </w:rPr>
              <w:t>Tertiary type</w:t>
            </w:r>
          </w:p>
        </w:tc>
        <w:tc>
          <w:tcPr>
            <w:tcW w:w="992" w:type="dxa"/>
            <w:tcBorders>
              <w:top w:val="single" w:sz="12" w:space="0" w:color="auto"/>
              <w:bottom w:val="single" w:sz="12" w:space="0" w:color="auto"/>
            </w:tcBorders>
          </w:tcPr>
          <w:p w14:paraId="2987CD6F" w14:textId="0918E093" w:rsidR="00652E95" w:rsidRPr="000D3FA0" w:rsidRDefault="00652E95" w:rsidP="000D3FA0">
            <w:pPr>
              <w:jc w:val="right"/>
              <w:rPr>
                <w:b/>
              </w:rPr>
            </w:pPr>
            <w:r>
              <w:rPr>
                <w:b/>
              </w:rPr>
              <w:t>1995</w:t>
            </w:r>
          </w:p>
        </w:tc>
        <w:tc>
          <w:tcPr>
            <w:tcW w:w="992" w:type="dxa"/>
            <w:tcBorders>
              <w:top w:val="single" w:sz="12" w:space="0" w:color="auto"/>
              <w:bottom w:val="single" w:sz="12" w:space="0" w:color="auto"/>
            </w:tcBorders>
          </w:tcPr>
          <w:p w14:paraId="53EB4A5F" w14:textId="1EA7E1A2" w:rsidR="00652E95" w:rsidRPr="000D3FA0" w:rsidRDefault="00652E95" w:rsidP="000D3FA0">
            <w:pPr>
              <w:jc w:val="right"/>
              <w:rPr>
                <w:b/>
              </w:rPr>
            </w:pPr>
            <w:r w:rsidRPr="000D3FA0">
              <w:rPr>
                <w:b/>
              </w:rPr>
              <w:t>2000</w:t>
            </w:r>
          </w:p>
        </w:tc>
        <w:tc>
          <w:tcPr>
            <w:tcW w:w="851" w:type="dxa"/>
            <w:tcBorders>
              <w:top w:val="single" w:sz="12" w:space="0" w:color="auto"/>
              <w:bottom w:val="single" w:sz="12" w:space="0" w:color="auto"/>
            </w:tcBorders>
          </w:tcPr>
          <w:p w14:paraId="04910072" w14:textId="775A37FF" w:rsidR="00652E95" w:rsidRPr="000D3FA0" w:rsidRDefault="00652E95" w:rsidP="000D3FA0">
            <w:pPr>
              <w:jc w:val="right"/>
              <w:rPr>
                <w:b/>
              </w:rPr>
            </w:pPr>
            <w:r w:rsidRPr="000D3FA0">
              <w:rPr>
                <w:b/>
              </w:rPr>
              <w:t>2005</w:t>
            </w:r>
          </w:p>
        </w:tc>
        <w:tc>
          <w:tcPr>
            <w:tcW w:w="992" w:type="dxa"/>
            <w:tcBorders>
              <w:top w:val="single" w:sz="12" w:space="0" w:color="auto"/>
              <w:bottom w:val="single" w:sz="12" w:space="0" w:color="auto"/>
            </w:tcBorders>
          </w:tcPr>
          <w:p w14:paraId="49CAD866" w14:textId="0B5FDAD1" w:rsidR="00652E95" w:rsidRPr="000D3FA0" w:rsidRDefault="00652E95" w:rsidP="000D3FA0">
            <w:pPr>
              <w:jc w:val="right"/>
              <w:rPr>
                <w:b/>
              </w:rPr>
            </w:pPr>
            <w:r w:rsidRPr="000D3FA0">
              <w:rPr>
                <w:b/>
              </w:rPr>
              <w:t>2010</w:t>
            </w:r>
          </w:p>
        </w:tc>
      </w:tr>
      <w:tr w:rsidR="00652E95" w:rsidRPr="000D3FA0" w14:paraId="0398CECA" w14:textId="77777777" w:rsidTr="00652E95">
        <w:trPr>
          <w:jc w:val="center"/>
        </w:trPr>
        <w:tc>
          <w:tcPr>
            <w:tcW w:w="1588" w:type="dxa"/>
            <w:tcBorders>
              <w:top w:val="single" w:sz="12" w:space="0" w:color="auto"/>
            </w:tcBorders>
          </w:tcPr>
          <w:p w14:paraId="3A15C3C1" w14:textId="0F8E2245" w:rsidR="00652E95" w:rsidRPr="000D3FA0" w:rsidRDefault="00652E95" w:rsidP="00D47147">
            <w:pPr>
              <w:rPr>
                <w:b/>
              </w:rPr>
            </w:pPr>
            <w:r>
              <w:rPr>
                <w:b/>
              </w:rPr>
              <w:t>Australia</w:t>
            </w:r>
          </w:p>
        </w:tc>
        <w:tc>
          <w:tcPr>
            <w:tcW w:w="1951" w:type="dxa"/>
            <w:tcBorders>
              <w:top w:val="single" w:sz="12" w:space="0" w:color="auto"/>
            </w:tcBorders>
          </w:tcPr>
          <w:p w14:paraId="00FF1AB7" w14:textId="78D491EE" w:rsidR="00652E95" w:rsidRPr="000D3FA0" w:rsidRDefault="00652E95" w:rsidP="00D47147">
            <w:pPr>
              <w:rPr>
                <w:b/>
              </w:rPr>
            </w:pPr>
          </w:p>
        </w:tc>
        <w:tc>
          <w:tcPr>
            <w:tcW w:w="992" w:type="dxa"/>
            <w:tcBorders>
              <w:top w:val="single" w:sz="12" w:space="0" w:color="auto"/>
            </w:tcBorders>
          </w:tcPr>
          <w:p w14:paraId="73E19E65" w14:textId="77777777" w:rsidR="00652E95" w:rsidRDefault="00652E95" w:rsidP="000D3FA0">
            <w:pPr>
              <w:jc w:val="right"/>
              <w:rPr>
                <w:b/>
              </w:rPr>
            </w:pPr>
          </w:p>
        </w:tc>
        <w:tc>
          <w:tcPr>
            <w:tcW w:w="992" w:type="dxa"/>
            <w:tcBorders>
              <w:top w:val="single" w:sz="12" w:space="0" w:color="auto"/>
            </w:tcBorders>
          </w:tcPr>
          <w:p w14:paraId="31868706" w14:textId="77777777" w:rsidR="00652E95" w:rsidRPr="000D3FA0" w:rsidRDefault="00652E95" w:rsidP="000D3FA0">
            <w:pPr>
              <w:jc w:val="right"/>
              <w:rPr>
                <w:b/>
              </w:rPr>
            </w:pPr>
          </w:p>
        </w:tc>
        <w:tc>
          <w:tcPr>
            <w:tcW w:w="851" w:type="dxa"/>
            <w:tcBorders>
              <w:top w:val="single" w:sz="12" w:space="0" w:color="auto"/>
            </w:tcBorders>
          </w:tcPr>
          <w:p w14:paraId="10F6AE40" w14:textId="77777777" w:rsidR="00652E95" w:rsidRPr="000D3FA0" w:rsidRDefault="00652E95" w:rsidP="000D3FA0">
            <w:pPr>
              <w:jc w:val="right"/>
              <w:rPr>
                <w:b/>
              </w:rPr>
            </w:pPr>
          </w:p>
        </w:tc>
        <w:tc>
          <w:tcPr>
            <w:tcW w:w="992" w:type="dxa"/>
            <w:tcBorders>
              <w:top w:val="single" w:sz="12" w:space="0" w:color="auto"/>
            </w:tcBorders>
          </w:tcPr>
          <w:p w14:paraId="62878226" w14:textId="77777777" w:rsidR="00652E95" w:rsidRPr="000D3FA0" w:rsidRDefault="00652E95" w:rsidP="000D3FA0">
            <w:pPr>
              <w:jc w:val="right"/>
              <w:rPr>
                <w:b/>
              </w:rPr>
            </w:pPr>
          </w:p>
        </w:tc>
      </w:tr>
      <w:tr w:rsidR="00652E95" w14:paraId="268A2765" w14:textId="77777777" w:rsidTr="00652E95">
        <w:trPr>
          <w:jc w:val="center"/>
        </w:trPr>
        <w:tc>
          <w:tcPr>
            <w:tcW w:w="1588" w:type="dxa"/>
          </w:tcPr>
          <w:p w14:paraId="53788788" w14:textId="77777777" w:rsidR="00652E95" w:rsidRDefault="00652E95" w:rsidP="00D47147"/>
        </w:tc>
        <w:tc>
          <w:tcPr>
            <w:tcW w:w="1951" w:type="dxa"/>
          </w:tcPr>
          <w:p w14:paraId="7D683B41" w14:textId="2E768F5F" w:rsidR="00652E95" w:rsidRDefault="00652E95" w:rsidP="00D47147">
            <w:r>
              <w:t>Tertiary type A</w:t>
            </w:r>
          </w:p>
        </w:tc>
        <w:tc>
          <w:tcPr>
            <w:tcW w:w="992" w:type="dxa"/>
          </w:tcPr>
          <w:p w14:paraId="228C8793" w14:textId="30D16586" w:rsidR="00652E95" w:rsidRDefault="00652E95" w:rsidP="000D3FA0">
            <w:pPr>
              <w:jc w:val="right"/>
            </w:pPr>
            <w:r>
              <w:t>NA</w:t>
            </w:r>
          </w:p>
        </w:tc>
        <w:tc>
          <w:tcPr>
            <w:tcW w:w="992" w:type="dxa"/>
          </w:tcPr>
          <w:p w14:paraId="4044324C" w14:textId="6C30A2F7" w:rsidR="00652E95" w:rsidRDefault="00652E95" w:rsidP="000D3FA0">
            <w:pPr>
              <w:jc w:val="right"/>
            </w:pPr>
            <w:r>
              <w:t>36</w:t>
            </w:r>
          </w:p>
        </w:tc>
        <w:tc>
          <w:tcPr>
            <w:tcW w:w="851" w:type="dxa"/>
          </w:tcPr>
          <w:p w14:paraId="134A5997" w14:textId="20E8BD0B" w:rsidR="00652E95" w:rsidRDefault="00652E95" w:rsidP="000D3FA0">
            <w:pPr>
              <w:jc w:val="right"/>
            </w:pPr>
            <w:r>
              <w:t>50</w:t>
            </w:r>
          </w:p>
        </w:tc>
        <w:tc>
          <w:tcPr>
            <w:tcW w:w="992" w:type="dxa"/>
          </w:tcPr>
          <w:p w14:paraId="265BB060" w14:textId="1BA90446" w:rsidR="00652E95" w:rsidRDefault="00652E95" w:rsidP="000D3FA0">
            <w:pPr>
              <w:jc w:val="right"/>
            </w:pPr>
            <w:r>
              <w:t>50</w:t>
            </w:r>
          </w:p>
        </w:tc>
      </w:tr>
      <w:tr w:rsidR="00652E95" w14:paraId="0E3E350B" w14:textId="77777777" w:rsidTr="00652E95">
        <w:trPr>
          <w:jc w:val="center"/>
        </w:trPr>
        <w:tc>
          <w:tcPr>
            <w:tcW w:w="1588" w:type="dxa"/>
            <w:tcBorders>
              <w:bottom w:val="single" w:sz="4" w:space="0" w:color="auto"/>
            </w:tcBorders>
          </w:tcPr>
          <w:p w14:paraId="22DBB4B3" w14:textId="77777777" w:rsidR="00652E95" w:rsidRDefault="00652E95" w:rsidP="00D47147"/>
        </w:tc>
        <w:tc>
          <w:tcPr>
            <w:tcW w:w="1951" w:type="dxa"/>
            <w:tcBorders>
              <w:bottom w:val="single" w:sz="4" w:space="0" w:color="auto"/>
            </w:tcBorders>
          </w:tcPr>
          <w:p w14:paraId="1D162356" w14:textId="2D882BBD" w:rsidR="00652E95" w:rsidRDefault="00652E95" w:rsidP="00D47147">
            <w:r>
              <w:t>Tertiary type B</w:t>
            </w:r>
          </w:p>
        </w:tc>
        <w:tc>
          <w:tcPr>
            <w:tcW w:w="992" w:type="dxa"/>
            <w:tcBorders>
              <w:bottom w:val="single" w:sz="4" w:space="0" w:color="auto"/>
            </w:tcBorders>
          </w:tcPr>
          <w:p w14:paraId="3ABBF421" w14:textId="3B982085" w:rsidR="00652E95" w:rsidRDefault="00652E95" w:rsidP="000D3FA0">
            <w:pPr>
              <w:jc w:val="right"/>
            </w:pPr>
            <w:r>
              <w:t>NA</w:t>
            </w:r>
          </w:p>
        </w:tc>
        <w:tc>
          <w:tcPr>
            <w:tcW w:w="992" w:type="dxa"/>
            <w:tcBorders>
              <w:bottom w:val="single" w:sz="4" w:space="0" w:color="auto"/>
            </w:tcBorders>
          </w:tcPr>
          <w:p w14:paraId="0E79D4C8" w14:textId="562450ED" w:rsidR="00652E95" w:rsidRDefault="00652E95" w:rsidP="000D3FA0">
            <w:pPr>
              <w:jc w:val="right"/>
            </w:pPr>
            <w:r>
              <w:t>NA</w:t>
            </w:r>
          </w:p>
        </w:tc>
        <w:tc>
          <w:tcPr>
            <w:tcW w:w="851" w:type="dxa"/>
            <w:tcBorders>
              <w:bottom w:val="single" w:sz="4" w:space="0" w:color="auto"/>
            </w:tcBorders>
          </w:tcPr>
          <w:p w14:paraId="72E4B5F9" w14:textId="4A41804B" w:rsidR="00652E95" w:rsidRDefault="00652E95" w:rsidP="000D3FA0">
            <w:pPr>
              <w:jc w:val="right"/>
            </w:pPr>
            <w:r>
              <w:t>NA</w:t>
            </w:r>
          </w:p>
        </w:tc>
        <w:tc>
          <w:tcPr>
            <w:tcW w:w="992" w:type="dxa"/>
            <w:tcBorders>
              <w:bottom w:val="single" w:sz="4" w:space="0" w:color="auto"/>
            </w:tcBorders>
          </w:tcPr>
          <w:p w14:paraId="4B260FF0" w14:textId="4DE3A22D" w:rsidR="00652E95" w:rsidRDefault="00652E95" w:rsidP="000D3FA0">
            <w:pPr>
              <w:jc w:val="right"/>
            </w:pPr>
            <w:r>
              <w:t>17</w:t>
            </w:r>
          </w:p>
        </w:tc>
      </w:tr>
      <w:tr w:rsidR="00652E95" w:rsidRPr="003804FF" w14:paraId="6A9A3E09" w14:textId="77777777" w:rsidTr="00652E95">
        <w:trPr>
          <w:jc w:val="center"/>
        </w:trPr>
        <w:tc>
          <w:tcPr>
            <w:tcW w:w="1588" w:type="dxa"/>
            <w:tcBorders>
              <w:bottom w:val="single" w:sz="12" w:space="0" w:color="auto"/>
            </w:tcBorders>
          </w:tcPr>
          <w:p w14:paraId="3736CC58" w14:textId="77777777" w:rsidR="00652E95" w:rsidRPr="003804FF" w:rsidRDefault="00652E95" w:rsidP="00D47147">
            <w:pPr>
              <w:rPr>
                <w:b/>
              </w:rPr>
            </w:pPr>
          </w:p>
        </w:tc>
        <w:tc>
          <w:tcPr>
            <w:tcW w:w="1951" w:type="dxa"/>
            <w:tcBorders>
              <w:bottom w:val="single" w:sz="12" w:space="0" w:color="auto"/>
            </w:tcBorders>
          </w:tcPr>
          <w:p w14:paraId="0385AC16" w14:textId="70433652" w:rsidR="00652E95" w:rsidRPr="003804FF" w:rsidRDefault="00652E95" w:rsidP="00D47147">
            <w:pPr>
              <w:rPr>
                <w:b/>
              </w:rPr>
            </w:pPr>
            <w:r w:rsidRPr="003804FF">
              <w:rPr>
                <w:b/>
              </w:rPr>
              <w:t>Total tertiary</w:t>
            </w:r>
          </w:p>
        </w:tc>
        <w:tc>
          <w:tcPr>
            <w:tcW w:w="992" w:type="dxa"/>
            <w:tcBorders>
              <w:bottom w:val="single" w:sz="12" w:space="0" w:color="auto"/>
            </w:tcBorders>
          </w:tcPr>
          <w:p w14:paraId="02959D05" w14:textId="77777777" w:rsidR="00652E95" w:rsidRPr="003804FF" w:rsidRDefault="00652E95" w:rsidP="000D3FA0">
            <w:pPr>
              <w:jc w:val="right"/>
              <w:rPr>
                <w:b/>
              </w:rPr>
            </w:pPr>
          </w:p>
        </w:tc>
        <w:tc>
          <w:tcPr>
            <w:tcW w:w="992" w:type="dxa"/>
            <w:tcBorders>
              <w:bottom w:val="single" w:sz="12" w:space="0" w:color="auto"/>
            </w:tcBorders>
          </w:tcPr>
          <w:p w14:paraId="14B05F30" w14:textId="5791772B" w:rsidR="00652E95" w:rsidRPr="003804FF" w:rsidRDefault="00652E95" w:rsidP="000D3FA0">
            <w:pPr>
              <w:jc w:val="right"/>
              <w:rPr>
                <w:b/>
              </w:rPr>
            </w:pPr>
          </w:p>
        </w:tc>
        <w:tc>
          <w:tcPr>
            <w:tcW w:w="851" w:type="dxa"/>
            <w:tcBorders>
              <w:bottom w:val="single" w:sz="12" w:space="0" w:color="auto"/>
            </w:tcBorders>
          </w:tcPr>
          <w:p w14:paraId="4D40679D" w14:textId="77777777" w:rsidR="00652E95" w:rsidRPr="003804FF" w:rsidRDefault="00652E95" w:rsidP="000D3FA0">
            <w:pPr>
              <w:jc w:val="right"/>
              <w:rPr>
                <w:b/>
              </w:rPr>
            </w:pPr>
          </w:p>
        </w:tc>
        <w:tc>
          <w:tcPr>
            <w:tcW w:w="992" w:type="dxa"/>
            <w:tcBorders>
              <w:bottom w:val="single" w:sz="12" w:space="0" w:color="auto"/>
            </w:tcBorders>
          </w:tcPr>
          <w:p w14:paraId="3AD3CE33" w14:textId="603BC041" w:rsidR="00652E95" w:rsidRPr="003804FF" w:rsidRDefault="00652E95" w:rsidP="000D3FA0">
            <w:pPr>
              <w:jc w:val="right"/>
              <w:rPr>
                <w:b/>
              </w:rPr>
            </w:pPr>
            <w:r w:rsidRPr="003804FF">
              <w:rPr>
                <w:b/>
              </w:rPr>
              <w:t>67</w:t>
            </w:r>
          </w:p>
        </w:tc>
      </w:tr>
      <w:tr w:rsidR="00652E95" w:rsidRPr="008D6F89" w14:paraId="701FF765" w14:textId="77777777" w:rsidTr="00652E95">
        <w:trPr>
          <w:jc w:val="center"/>
        </w:trPr>
        <w:tc>
          <w:tcPr>
            <w:tcW w:w="1588" w:type="dxa"/>
            <w:tcBorders>
              <w:top w:val="single" w:sz="12" w:space="0" w:color="auto"/>
            </w:tcBorders>
          </w:tcPr>
          <w:p w14:paraId="5120E452" w14:textId="5AC55794" w:rsidR="00652E95" w:rsidRPr="008D6F89" w:rsidRDefault="00652E95" w:rsidP="00D47147">
            <w:pPr>
              <w:rPr>
                <w:b/>
              </w:rPr>
            </w:pPr>
            <w:r w:rsidRPr="008D6F89">
              <w:rPr>
                <w:b/>
              </w:rPr>
              <w:t>Canada</w:t>
            </w:r>
          </w:p>
        </w:tc>
        <w:tc>
          <w:tcPr>
            <w:tcW w:w="1951" w:type="dxa"/>
            <w:tcBorders>
              <w:top w:val="single" w:sz="12" w:space="0" w:color="auto"/>
            </w:tcBorders>
          </w:tcPr>
          <w:p w14:paraId="3A4AD25C" w14:textId="3D5B20F5" w:rsidR="00652E95" w:rsidRPr="008D6F89" w:rsidRDefault="00652E95" w:rsidP="00D47147">
            <w:pPr>
              <w:rPr>
                <w:b/>
              </w:rPr>
            </w:pPr>
          </w:p>
        </w:tc>
        <w:tc>
          <w:tcPr>
            <w:tcW w:w="992" w:type="dxa"/>
            <w:tcBorders>
              <w:top w:val="single" w:sz="12" w:space="0" w:color="auto"/>
            </w:tcBorders>
          </w:tcPr>
          <w:p w14:paraId="0A54BE9E" w14:textId="0668F49D" w:rsidR="00652E95" w:rsidRPr="008D6F89" w:rsidRDefault="00652E95" w:rsidP="000D3FA0">
            <w:pPr>
              <w:jc w:val="right"/>
              <w:rPr>
                <w:b/>
              </w:rPr>
            </w:pPr>
          </w:p>
        </w:tc>
        <w:tc>
          <w:tcPr>
            <w:tcW w:w="992" w:type="dxa"/>
            <w:tcBorders>
              <w:top w:val="single" w:sz="12" w:space="0" w:color="auto"/>
            </w:tcBorders>
          </w:tcPr>
          <w:p w14:paraId="17BEF504" w14:textId="405B3765" w:rsidR="00652E95" w:rsidRPr="008D6F89" w:rsidRDefault="00652E95" w:rsidP="000D3FA0">
            <w:pPr>
              <w:jc w:val="right"/>
              <w:rPr>
                <w:b/>
              </w:rPr>
            </w:pPr>
          </w:p>
        </w:tc>
        <w:tc>
          <w:tcPr>
            <w:tcW w:w="851" w:type="dxa"/>
            <w:tcBorders>
              <w:top w:val="single" w:sz="12" w:space="0" w:color="auto"/>
            </w:tcBorders>
          </w:tcPr>
          <w:p w14:paraId="13CA4D7B" w14:textId="3C09003F" w:rsidR="00652E95" w:rsidRPr="008D6F89" w:rsidRDefault="00652E95" w:rsidP="000D3FA0">
            <w:pPr>
              <w:jc w:val="right"/>
              <w:rPr>
                <w:b/>
              </w:rPr>
            </w:pPr>
          </w:p>
        </w:tc>
        <w:tc>
          <w:tcPr>
            <w:tcW w:w="992" w:type="dxa"/>
            <w:tcBorders>
              <w:top w:val="single" w:sz="12" w:space="0" w:color="auto"/>
            </w:tcBorders>
          </w:tcPr>
          <w:p w14:paraId="530B35E8" w14:textId="40774E70" w:rsidR="00652E95" w:rsidRPr="008D6F89" w:rsidRDefault="00652E95" w:rsidP="000D3FA0">
            <w:pPr>
              <w:jc w:val="right"/>
              <w:rPr>
                <w:b/>
              </w:rPr>
            </w:pPr>
          </w:p>
        </w:tc>
      </w:tr>
      <w:tr w:rsidR="00652E95" w14:paraId="76DBC2EC" w14:textId="77777777" w:rsidTr="00652E95">
        <w:trPr>
          <w:jc w:val="center"/>
        </w:trPr>
        <w:tc>
          <w:tcPr>
            <w:tcW w:w="1588" w:type="dxa"/>
          </w:tcPr>
          <w:p w14:paraId="4931C409" w14:textId="77777777" w:rsidR="00652E95" w:rsidRDefault="00652E95" w:rsidP="00D47147"/>
        </w:tc>
        <w:tc>
          <w:tcPr>
            <w:tcW w:w="1951" w:type="dxa"/>
          </w:tcPr>
          <w:p w14:paraId="1562D009" w14:textId="27706609" w:rsidR="00652E95" w:rsidRDefault="00652E95" w:rsidP="00D47147">
            <w:r>
              <w:t>Tertiary type A</w:t>
            </w:r>
          </w:p>
        </w:tc>
        <w:tc>
          <w:tcPr>
            <w:tcW w:w="992" w:type="dxa"/>
          </w:tcPr>
          <w:p w14:paraId="4DD04166" w14:textId="58945A61" w:rsidR="00652E95" w:rsidRDefault="00652E95" w:rsidP="000D3FA0">
            <w:pPr>
              <w:jc w:val="right"/>
            </w:pPr>
            <w:r>
              <w:t>27</w:t>
            </w:r>
          </w:p>
        </w:tc>
        <w:tc>
          <w:tcPr>
            <w:tcW w:w="992" w:type="dxa"/>
          </w:tcPr>
          <w:p w14:paraId="744510A4" w14:textId="4E5C0EA2" w:rsidR="00652E95" w:rsidRDefault="00652E95" w:rsidP="000D3FA0">
            <w:pPr>
              <w:jc w:val="right"/>
            </w:pPr>
            <w:r>
              <w:t>27</w:t>
            </w:r>
          </w:p>
        </w:tc>
        <w:tc>
          <w:tcPr>
            <w:tcW w:w="851" w:type="dxa"/>
          </w:tcPr>
          <w:p w14:paraId="189C5758" w14:textId="3CAA3D0F" w:rsidR="00652E95" w:rsidRDefault="00652E95" w:rsidP="000D3FA0">
            <w:pPr>
              <w:jc w:val="right"/>
            </w:pPr>
            <w:r>
              <w:t>29</w:t>
            </w:r>
          </w:p>
        </w:tc>
        <w:tc>
          <w:tcPr>
            <w:tcW w:w="992" w:type="dxa"/>
          </w:tcPr>
          <w:p w14:paraId="40CF96DF" w14:textId="69F54AFA" w:rsidR="00652E95" w:rsidRDefault="00652E95" w:rsidP="000D3FA0">
            <w:pPr>
              <w:jc w:val="right"/>
            </w:pPr>
            <w:r>
              <w:t>35</w:t>
            </w:r>
          </w:p>
        </w:tc>
      </w:tr>
      <w:tr w:rsidR="00652E95" w14:paraId="271E9AD7" w14:textId="77777777" w:rsidTr="00652E95">
        <w:trPr>
          <w:jc w:val="center"/>
        </w:trPr>
        <w:tc>
          <w:tcPr>
            <w:tcW w:w="1588" w:type="dxa"/>
            <w:tcBorders>
              <w:bottom w:val="single" w:sz="4" w:space="0" w:color="auto"/>
            </w:tcBorders>
          </w:tcPr>
          <w:p w14:paraId="7B957A39" w14:textId="77777777" w:rsidR="00652E95" w:rsidRDefault="00652E95" w:rsidP="00D47147"/>
        </w:tc>
        <w:tc>
          <w:tcPr>
            <w:tcW w:w="1951" w:type="dxa"/>
            <w:tcBorders>
              <w:bottom w:val="single" w:sz="4" w:space="0" w:color="auto"/>
            </w:tcBorders>
          </w:tcPr>
          <w:p w14:paraId="67D1D6BC" w14:textId="14460448" w:rsidR="00652E95" w:rsidRDefault="00652E95" w:rsidP="00D47147">
            <w:r>
              <w:t>Tertiary type B</w:t>
            </w:r>
          </w:p>
        </w:tc>
        <w:tc>
          <w:tcPr>
            <w:tcW w:w="992" w:type="dxa"/>
            <w:tcBorders>
              <w:bottom w:val="single" w:sz="4" w:space="0" w:color="auto"/>
            </w:tcBorders>
          </w:tcPr>
          <w:p w14:paraId="78E80661" w14:textId="024A538F" w:rsidR="00652E95" w:rsidRDefault="00652E95" w:rsidP="000D3FA0">
            <w:pPr>
              <w:jc w:val="right"/>
            </w:pPr>
            <w:r>
              <w:t>NA</w:t>
            </w:r>
          </w:p>
        </w:tc>
        <w:tc>
          <w:tcPr>
            <w:tcW w:w="992" w:type="dxa"/>
            <w:tcBorders>
              <w:bottom w:val="single" w:sz="4" w:space="0" w:color="auto"/>
            </w:tcBorders>
          </w:tcPr>
          <w:p w14:paraId="2DAF89EF" w14:textId="7874364A" w:rsidR="00652E95" w:rsidRDefault="00652E95" w:rsidP="000D3FA0">
            <w:pPr>
              <w:jc w:val="right"/>
            </w:pPr>
            <w:r>
              <w:t>NA</w:t>
            </w:r>
          </w:p>
        </w:tc>
        <w:tc>
          <w:tcPr>
            <w:tcW w:w="851" w:type="dxa"/>
            <w:tcBorders>
              <w:bottom w:val="single" w:sz="4" w:space="0" w:color="auto"/>
            </w:tcBorders>
          </w:tcPr>
          <w:p w14:paraId="424B5A16" w14:textId="1D53AE92" w:rsidR="00652E95" w:rsidRDefault="00652E95" w:rsidP="000D3FA0">
            <w:pPr>
              <w:jc w:val="right"/>
            </w:pPr>
            <w:r>
              <w:t>NA</w:t>
            </w:r>
          </w:p>
        </w:tc>
        <w:tc>
          <w:tcPr>
            <w:tcW w:w="992" w:type="dxa"/>
            <w:tcBorders>
              <w:bottom w:val="single" w:sz="4" w:space="0" w:color="auto"/>
            </w:tcBorders>
          </w:tcPr>
          <w:p w14:paraId="5FCBC3AD" w14:textId="2E5CE0FF" w:rsidR="00652E95" w:rsidRDefault="00652E95" w:rsidP="000D3FA0">
            <w:pPr>
              <w:jc w:val="right"/>
            </w:pPr>
            <w:r>
              <w:t>18</w:t>
            </w:r>
          </w:p>
        </w:tc>
      </w:tr>
      <w:tr w:rsidR="00652E95" w:rsidRPr="003804FF" w14:paraId="454AE890" w14:textId="77777777" w:rsidTr="00652E95">
        <w:trPr>
          <w:jc w:val="center"/>
        </w:trPr>
        <w:tc>
          <w:tcPr>
            <w:tcW w:w="1588" w:type="dxa"/>
            <w:tcBorders>
              <w:bottom w:val="single" w:sz="12" w:space="0" w:color="auto"/>
            </w:tcBorders>
          </w:tcPr>
          <w:p w14:paraId="0AB78D62" w14:textId="77777777" w:rsidR="00652E95" w:rsidRPr="003804FF" w:rsidRDefault="00652E95" w:rsidP="00D47147">
            <w:pPr>
              <w:rPr>
                <w:b/>
              </w:rPr>
            </w:pPr>
          </w:p>
        </w:tc>
        <w:tc>
          <w:tcPr>
            <w:tcW w:w="1951" w:type="dxa"/>
            <w:tcBorders>
              <w:bottom w:val="single" w:sz="12" w:space="0" w:color="auto"/>
            </w:tcBorders>
          </w:tcPr>
          <w:p w14:paraId="5C26FF86" w14:textId="09958998" w:rsidR="00652E95" w:rsidRPr="003804FF" w:rsidRDefault="00652E95" w:rsidP="00D47147">
            <w:pPr>
              <w:rPr>
                <w:b/>
              </w:rPr>
            </w:pPr>
            <w:r w:rsidRPr="003804FF">
              <w:rPr>
                <w:b/>
              </w:rPr>
              <w:t>Total tertiary</w:t>
            </w:r>
          </w:p>
        </w:tc>
        <w:tc>
          <w:tcPr>
            <w:tcW w:w="992" w:type="dxa"/>
            <w:tcBorders>
              <w:bottom w:val="single" w:sz="12" w:space="0" w:color="auto"/>
            </w:tcBorders>
          </w:tcPr>
          <w:p w14:paraId="3BB6A256" w14:textId="77777777" w:rsidR="00652E95" w:rsidRPr="003804FF" w:rsidRDefault="00652E95" w:rsidP="000D3FA0">
            <w:pPr>
              <w:jc w:val="right"/>
              <w:rPr>
                <w:b/>
              </w:rPr>
            </w:pPr>
          </w:p>
        </w:tc>
        <w:tc>
          <w:tcPr>
            <w:tcW w:w="992" w:type="dxa"/>
            <w:tcBorders>
              <w:bottom w:val="single" w:sz="12" w:space="0" w:color="auto"/>
            </w:tcBorders>
          </w:tcPr>
          <w:p w14:paraId="3FB3E855" w14:textId="7849A11C" w:rsidR="00652E95" w:rsidRPr="003804FF" w:rsidRDefault="00652E95" w:rsidP="000D3FA0">
            <w:pPr>
              <w:jc w:val="right"/>
              <w:rPr>
                <w:b/>
              </w:rPr>
            </w:pPr>
          </w:p>
        </w:tc>
        <w:tc>
          <w:tcPr>
            <w:tcW w:w="851" w:type="dxa"/>
            <w:tcBorders>
              <w:bottom w:val="single" w:sz="12" w:space="0" w:color="auto"/>
            </w:tcBorders>
          </w:tcPr>
          <w:p w14:paraId="73E4E35C" w14:textId="77777777" w:rsidR="00652E95" w:rsidRPr="003804FF" w:rsidRDefault="00652E95" w:rsidP="000D3FA0">
            <w:pPr>
              <w:jc w:val="right"/>
              <w:rPr>
                <w:b/>
              </w:rPr>
            </w:pPr>
          </w:p>
        </w:tc>
        <w:tc>
          <w:tcPr>
            <w:tcW w:w="992" w:type="dxa"/>
            <w:tcBorders>
              <w:bottom w:val="single" w:sz="12" w:space="0" w:color="auto"/>
            </w:tcBorders>
          </w:tcPr>
          <w:p w14:paraId="2EF34280" w14:textId="3C3054D4" w:rsidR="00652E95" w:rsidRPr="003804FF" w:rsidRDefault="00652E95" w:rsidP="000D3FA0">
            <w:pPr>
              <w:jc w:val="right"/>
              <w:rPr>
                <w:b/>
              </w:rPr>
            </w:pPr>
            <w:r w:rsidRPr="003804FF">
              <w:rPr>
                <w:b/>
              </w:rPr>
              <w:t>53</w:t>
            </w:r>
          </w:p>
        </w:tc>
      </w:tr>
      <w:tr w:rsidR="00652E95" w:rsidRPr="008D6F89" w14:paraId="095DBD9D" w14:textId="77777777" w:rsidTr="00652E95">
        <w:trPr>
          <w:jc w:val="center"/>
        </w:trPr>
        <w:tc>
          <w:tcPr>
            <w:tcW w:w="1588" w:type="dxa"/>
            <w:tcBorders>
              <w:top w:val="single" w:sz="12" w:space="0" w:color="auto"/>
            </w:tcBorders>
          </w:tcPr>
          <w:p w14:paraId="244D640D" w14:textId="5FBDB08A" w:rsidR="00652E95" w:rsidRPr="008D6F89" w:rsidRDefault="00652E95" w:rsidP="00D47147">
            <w:pPr>
              <w:rPr>
                <w:b/>
              </w:rPr>
            </w:pPr>
            <w:r w:rsidRPr="008D6F89">
              <w:rPr>
                <w:b/>
              </w:rPr>
              <w:t>UK</w:t>
            </w:r>
          </w:p>
        </w:tc>
        <w:tc>
          <w:tcPr>
            <w:tcW w:w="1951" w:type="dxa"/>
            <w:tcBorders>
              <w:top w:val="single" w:sz="12" w:space="0" w:color="auto"/>
            </w:tcBorders>
          </w:tcPr>
          <w:p w14:paraId="65C8C1C3" w14:textId="5D782F8F" w:rsidR="00652E95" w:rsidRPr="008D6F89" w:rsidRDefault="00652E95" w:rsidP="00D47147">
            <w:pPr>
              <w:rPr>
                <w:b/>
              </w:rPr>
            </w:pPr>
          </w:p>
        </w:tc>
        <w:tc>
          <w:tcPr>
            <w:tcW w:w="992" w:type="dxa"/>
            <w:tcBorders>
              <w:top w:val="single" w:sz="12" w:space="0" w:color="auto"/>
            </w:tcBorders>
          </w:tcPr>
          <w:p w14:paraId="5C850625" w14:textId="77777777" w:rsidR="00652E95" w:rsidRPr="008D6F89" w:rsidRDefault="00652E95" w:rsidP="000D3FA0">
            <w:pPr>
              <w:jc w:val="right"/>
              <w:rPr>
                <w:b/>
              </w:rPr>
            </w:pPr>
          </w:p>
        </w:tc>
        <w:tc>
          <w:tcPr>
            <w:tcW w:w="992" w:type="dxa"/>
            <w:tcBorders>
              <w:top w:val="single" w:sz="12" w:space="0" w:color="auto"/>
            </w:tcBorders>
          </w:tcPr>
          <w:p w14:paraId="5DA1798C" w14:textId="687E9E1F" w:rsidR="00652E95" w:rsidRPr="008D6F89" w:rsidRDefault="00652E95" w:rsidP="000D3FA0">
            <w:pPr>
              <w:jc w:val="right"/>
              <w:rPr>
                <w:b/>
              </w:rPr>
            </w:pPr>
          </w:p>
        </w:tc>
        <w:tc>
          <w:tcPr>
            <w:tcW w:w="851" w:type="dxa"/>
            <w:tcBorders>
              <w:top w:val="single" w:sz="12" w:space="0" w:color="auto"/>
            </w:tcBorders>
          </w:tcPr>
          <w:p w14:paraId="16C0D1CB" w14:textId="77777777" w:rsidR="00652E95" w:rsidRPr="008D6F89" w:rsidRDefault="00652E95" w:rsidP="000D3FA0">
            <w:pPr>
              <w:jc w:val="right"/>
              <w:rPr>
                <w:b/>
              </w:rPr>
            </w:pPr>
          </w:p>
        </w:tc>
        <w:tc>
          <w:tcPr>
            <w:tcW w:w="992" w:type="dxa"/>
            <w:tcBorders>
              <w:top w:val="single" w:sz="12" w:space="0" w:color="auto"/>
            </w:tcBorders>
          </w:tcPr>
          <w:p w14:paraId="7E3D1BBB" w14:textId="77777777" w:rsidR="00652E95" w:rsidRPr="008D6F89" w:rsidRDefault="00652E95" w:rsidP="000D3FA0">
            <w:pPr>
              <w:jc w:val="right"/>
              <w:rPr>
                <w:b/>
              </w:rPr>
            </w:pPr>
          </w:p>
        </w:tc>
      </w:tr>
      <w:tr w:rsidR="00652E95" w14:paraId="434ADB12" w14:textId="77777777" w:rsidTr="00652E95">
        <w:trPr>
          <w:jc w:val="center"/>
        </w:trPr>
        <w:tc>
          <w:tcPr>
            <w:tcW w:w="1588" w:type="dxa"/>
          </w:tcPr>
          <w:p w14:paraId="60C9ACD6" w14:textId="77777777" w:rsidR="00652E95" w:rsidRDefault="00652E95" w:rsidP="00D47147"/>
        </w:tc>
        <w:tc>
          <w:tcPr>
            <w:tcW w:w="1951" w:type="dxa"/>
          </w:tcPr>
          <w:p w14:paraId="6C3FDA11" w14:textId="40D913C6" w:rsidR="00652E95" w:rsidRDefault="00652E95" w:rsidP="00D47147">
            <w:r>
              <w:t>Tertiary type A</w:t>
            </w:r>
          </w:p>
        </w:tc>
        <w:tc>
          <w:tcPr>
            <w:tcW w:w="992" w:type="dxa"/>
          </w:tcPr>
          <w:p w14:paraId="7F030A11" w14:textId="1801E629" w:rsidR="00652E95" w:rsidRDefault="00652E95" w:rsidP="000D3FA0">
            <w:pPr>
              <w:jc w:val="right"/>
            </w:pPr>
            <w:r>
              <w:t>NA</w:t>
            </w:r>
          </w:p>
        </w:tc>
        <w:tc>
          <w:tcPr>
            <w:tcW w:w="992" w:type="dxa"/>
          </w:tcPr>
          <w:p w14:paraId="060AC782" w14:textId="1BE76BEB" w:rsidR="00652E95" w:rsidRDefault="00652E95" w:rsidP="000D3FA0">
            <w:pPr>
              <w:jc w:val="right"/>
            </w:pPr>
            <w:r>
              <w:t>42</w:t>
            </w:r>
          </w:p>
        </w:tc>
        <w:tc>
          <w:tcPr>
            <w:tcW w:w="851" w:type="dxa"/>
          </w:tcPr>
          <w:p w14:paraId="66948B9C" w14:textId="1823D29E" w:rsidR="00652E95" w:rsidRDefault="00652E95" w:rsidP="000D3FA0">
            <w:pPr>
              <w:jc w:val="right"/>
            </w:pPr>
            <w:r>
              <w:t>47</w:t>
            </w:r>
          </w:p>
        </w:tc>
        <w:tc>
          <w:tcPr>
            <w:tcW w:w="992" w:type="dxa"/>
          </w:tcPr>
          <w:p w14:paraId="6BBCC127" w14:textId="3153AC60" w:rsidR="00652E95" w:rsidRDefault="00652E95" w:rsidP="000D3FA0">
            <w:pPr>
              <w:jc w:val="right"/>
            </w:pPr>
            <w:r>
              <w:t>51</w:t>
            </w:r>
          </w:p>
        </w:tc>
      </w:tr>
      <w:tr w:rsidR="00652E95" w14:paraId="1269B850" w14:textId="77777777" w:rsidTr="00652E95">
        <w:trPr>
          <w:jc w:val="center"/>
        </w:trPr>
        <w:tc>
          <w:tcPr>
            <w:tcW w:w="1588" w:type="dxa"/>
            <w:tcBorders>
              <w:bottom w:val="single" w:sz="4" w:space="0" w:color="auto"/>
            </w:tcBorders>
          </w:tcPr>
          <w:p w14:paraId="5F95C3AA" w14:textId="77777777" w:rsidR="00652E95" w:rsidRDefault="00652E95" w:rsidP="00D47147"/>
        </w:tc>
        <w:tc>
          <w:tcPr>
            <w:tcW w:w="1951" w:type="dxa"/>
            <w:tcBorders>
              <w:bottom w:val="single" w:sz="4" w:space="0" w:color="auto"/>
            </w:tcBorders>
          </w:tcPr>
          <w:p w14:paraId="29C31C94" w14:textId="2244E516" w:rsidR="00652E95" w:rsidRDefault="00652E95" w:rsidP="00D47147">
            <w:r>
              <w:t>Tertiary type B</w:t>
            </w:r>
          </w:p>
        </w:tc>
        <w:tc>
          <w:tcPr>
            <w:tcW w:w="992" w:type="dxa"/>
            <w:tcBorders>
              <w:bottom w:val="single" w:sz="4" w:space="0" w:color="auto"/>
            </w:tcBorders>
          </w:tcPr>
          <w:p w14:paraId="2C599078" w14:textId="7208A275" w:rsidR="00652E95" w:rsidRDefault="00652E95" w:rsidP="000D3FA0">
            <w:pPr>
              <w:jc w:val="right"/>
            </w:pPr>
            <w:r>
              <w:t>NA</w:t>
            </w:r>
          </w:p>
        </w:tc>
        <w:tc>
          <w:tcPr>
            <w:tcW w:w="992" w:type="dxa"/>
            <w:tcBorders>
              <w:bottom w:val="single" w:sz="4" w:space="0" w:color="auto"/>
            </w:tcBorders>
          </w:tcPr>
          <w:p w14:paraId="62014748" w14:textId="504D5C90" w:rsidR="00652E95" w:rsidRDefault="00652E95" w:rsidP="000D3FA0">
            <w:pPr>
              <w:jc w:val="right"/>
            </w:pPr>
            <w:r>
              <w:t>7</w:t>
            </w:r>
          </w:p>
        </w:tc>
        <w:tc>
          <w:tcPr>
            <w:tcW w:w="851" w:type="dxa"/>
            <w:tcBorders>
              <w:bottom w:val="single" w:sz="4" w:space="0" w:color="auto"/>
            </w:tcBorders>
          </w:tcPr>
          <w:p w14:paraId="66188FBD" w14:textId="42E4D61B" w:rsidR="00652E95" w:rsidRDefault="00652E95" w:rsidP="000D3FA0">
            <w:pPr>
              <w:jc w:val="right"/>
            </w:pPr>
            <w:r>
              <w:t>11</w:t>
            </w:r>
          </w:p>
        </w:tc>
        <w:tc>
          <w:tcPr>
            <w:tcW w:w="992" w:type="dxa"/>
            <w:tcBorders>
              <w:bottom w:val="single" w:sz="4" w:space="0" w:color="auto"/>
            </w:tcBorders>
          </w:tcPr>
          <w:p w14:paraId="574F25CB" w14:textId="5FF6A2D2" w:rsidR="00652E95" w:rsidRDefault="00652E95" w:rsidP="000D3FA0">
            <w:pPr>
              <w:jc w:val="right"/>
            </w:pPr>
            <w:r>
              <w:t>12</w:t>
            </w:r>
          </w:p>
        </w:tc>
      </w:tr>
      <w:tr w:rsidR="00652E95" w:rsidRPr="003804FF" w14:paraId="4F4B0085" w14:textId="77777777" w:rsidTr="00652E95">
        <w:trPr>
          <w:jc w:val="center"/>
        </w:trPr>
        <w:tc>
          <w:tcPr>
            <w:tcW w:w="1588" w:type="dxa"/>
            <w:tcBorders>
              <w:bottom w:val="single" w:sz="12" w:space="0" w:color="auto"/>
            </w:tcBorders>
          </w:tcPr>
          <w:p w14:paraId="45CC0047" w14:textId="77777777" w:rsidR="00652E95" w:rsidRPr="003804FF" w:rsidRDefault="00652E95" w:rsidP="00D47147">
            <w:pPr>
              <w:rPr>
                <w:b/>
              </w:rPr>
            </w:pPr>
          </w:p>
        </w:tc>
        <w:tc>
          <w:tcPr>
            <w:tcW w:w="1951" w:type="dxa"/>
            <w:tcBorders>
              <w:bottom w:val="single" w:sz="12" w:space="0" w:color="auto"/>
            </w:tcBorders>
          </w:tcPr>
          <w:p w14:paraId="7CD08730" w14:textId="749D0777" w:rsidR="00652E95" w:rsidRPr="003804FF" w:rsidRDefault="00652E95" w:rsidP="00D47147">
            <w:pPr>
              <w:rPr>
                <w:b/>
              </w:rPr>
            </w:pPr>
            <w:r w:rsidRPr="003804FF">
              <w:rPr>
                <w:b/>
              </w:rPr>
              <w:t>Total tertiary</w:t>
            </w:r>
          </w:p>
        </w:tc>
        <w:tc>
          <w:tcPr>
            <w:tcW w:w="992" w:type="dxa"/>
            <w:tcBorders>
              <w:bottom w:val="single" w:sz="12" w:space="0" w:color="auto"/>
            </w:tcBorders>
          </w:tcPr>
          <w:p w14:paraId="69129632" w14:textId="77777777" w:rsidR="00652E95" w:rsidRPr="003804FF" w:rsidRDefault="00652E95" w:rsidP="000D3FA0">
            <w:pPr>
              <w:jc w:val="right"/>
              <w:rPr>
                <w:b/>
              </w:rPr>
            </w:pPr>
          </w:p>
        </w:tc>
        <w:tc>
          <w:tcPr>
            <w:tcW w:w="992" w:type="dxa"/>
            <w:tcBorders>
              <w:bottom w:val="single" w:sz="12" w:space="0" w:color="auto"/>
            </w:tcBorders>
          </w:tcPr>
          <w:p w14:paraId="1A603132" w14:textId="6B62AB9C" w:rsidR="00652E95" w:rsidRPr="003804FF" w:rsidRDefault="00652E95" w:rsidP="000D3FA0">
            <w:pPr>
              <w:jc w:val="right"/>
              <w:rPr>
                <w:b/>
              </w:rPr>
            </w:pPr>
            <w:r w:rsidRPr="003804FF">
              <w:rPr>
                <w:b/>
              </w:rPr>
              <w:t>49</w:t>
            </w:r>
          </w:p>
        </w:tc>
        <w:tc>
          <w:tcPr>
            <w:tcW w:w="851" w:type="dxa"/>
            <w:tcBorders>
              <w:bottom w:val="single" w:sz="12" w:space="0" w:color="auto"/>
            </w:tcBorders>
          </w:tcPr>
          <w:p w14:paraId="774C12A5" w14:textId="5F200B69" w:rsidR="00652E95" w:rsidRPr="003804FF" w:rsidRDefault="00652E95" w:rsidP="000D3FA0">
            <w:pPr>
              <w:jc w:val="right"/>
              <w:rPr>
                <w:b/>
              </w:rPr>
            </w:pPr>
            <w:r w:rsidRPr="003804FF">
              <w:rPr>
                <w:b/>
              </w:rPr>
              <w:t>58</w:t>
            </w:r>
          </w:p>
        </w:tc>
        <w:tc>
          <w:tcPr>
            <w:tcW w:w="992" w:type="dxa"/>
            <w:tcBorders>
              <w:bottom w:val="single" w:sz="12" w:space="0" w:color="auto"/>
            </w:tcBorders>
          </w:tcPr>
          <w:p w14:paraId="3C7428B8" w14:textId="13D14A67" w:rsidR="00652E95" w:rsidRPr="003804FF" w:rsidRDefault="00652E95" w:rsidP="000D3FA0">
            <w:pPr>
              <w:jc w:val="right"/>
              <w:rPr>
                <w:b/>
              </w:rPr>
            </w:pPr>
            <w:r w:rsidRPr="003804FF">
              <w:rPr>
                <w:b/>
              </w:rPr>
              <w:t>63</w:t>
            </w:r>
          </w:p>
        </w:tc>
      </w:tr>
      <w:tr w:rsidR="00652E95" w:rsidRPr="008D6F89" w14:paraId="2372D9E2" w14:textId="77777777" w:rsidTr="00652E95">
        <w:trPr>
          <w:jc w:val="center"/>
        </w:trPr>
        <w:tc>
          <w:tcPr>
            <w:tcW w:w="1588" w:type="dxa"/>
            <w:tcBorders>
              <w:top w:val="single" w:sz="12" w:space="0" w:color="auto"/>
            </w:tcBorders>
          </w:tcPr>
          <w:p w14:paraId="56147C4B" w14:textId="0B2A8DEE" w:rsidR="00652E95" w:rsidRPr="008D6F89" w:rsidRDefault="00652E95" w:rsidP="008D6F89">
            <w:pPr>
              <w:rPr>
                <w:b/>
              </w:rPr>
            </w:pPr>
            <w:r w:rsidRPr="008D6F89">
              <w:rPr>
                <w:b/>
              </w:rPr>
              <w:lastRenderedPageBreak/>
              <w:t>US</w:t>
            </w:r>
          </w:p>
        </w:tc>
        <w:tc>
          <w:tcPr>
            <w:tcW w:w="1951" w:type="dxa"/>
            <w:tcBorders>
              <w:top w:val="single" w:sz="12" w:space="0" w:color="auto"/>
            </w:tcBorders>
          </w:tcPr>
          <w:p w14:paraId="39BA5F51" w14:textId="3B5F425F" w:rsidR="00652E95" w:rsidRPr="008D6F89" w:rsidRDefault="00652E95" w:rsidP="008D6F89">
            <w:pPr>
              <w:rPr>
                <w:b/>
              </w:rPr>
            </w:pPr>
          </w:p>
        </w:tc>
        <w:tc>
          <w:tcPr>
            <w:tcW w:w="992" w:type="dxa"/>
            <w:tcBorders>
              <w:top w:val="single" w:sz="12" w:space="0" w:color="auto"/>
            </w:tcBorders>
          </w:tcPr>
          <w:p w14:paraId="738155C5" w14:textId="77777777" w:rsidR="00652E95" w:rsidRPr="008D6F89" w:rsidRDefault="00652E95" w:rsidP="008D6F89">
            <w:pPr>
              <w:jc w:val="right"/>
              <w:rPr>
                <w:b/>
              </w:rPr>
            </w:pPr>
          </w:p>
        </w:tc>
        <w:tc>
          <w:tcPr>
            <w:tcW w:w="992" w:type="dxa"/>
            <w:tcBorders>
              <w:top w:val="single" w:sz="12" w:space="0" w:color="auto"/>
            </w:tcBorders>
          </w:tcPr>
          <w:p w14:paraId="43C46AAA" w14:textId="77777777" w:rsidR="00652E95" w:rsidRPr="008D6F89" w:rsidRDefault="00652E95" w:rsidP="008D6F89">
            <w:pPr>
              <w:jc w:val="right"/>
              <w:rPr>
                <w:b/>
              </w:rPr>
            </w:pPr>
          </w:p>
        </w:tc>
        <w:tc>
          <w:tcPr>
            <w:tcW w:w="851" w:type="dxa"/>
            <w:tcBorders>
              <w:top w:val="single" w:sz="12" w:space="0" w:color="auto"/>
            </w:tcBorders>
          </w:tcPr>
          <w:p w14:paraId="613CDE96" w14:textId="77777777" w:rsidR="00652E95" w:rsidRPr="008D6F89" w:rsidRDefault="00652E95" w:rsidP="008D6F89">
            <w:pPr>
              <w:jc w:val="right"/>
              <w:rPr>
                <w:b/>
              </w:rPr>
            </w:pPr>
          </w:p>
        </w:tc>
        <w:tc>
          <w:tcPr>
            <w:tcW w:w="992" w:type="dxa"/>
            <w:tcBorders>
              <w:top w:val="single" w:sz="12" w:space="0" w:color="auto"/>
            </w:tcBorders>
          </w:tcPr>
          <w:p w14:paraId="773410BB" w14:textId="77777777" w:rsidR="00652E95" w:rsidRPr="008D6F89" w:rsidRDefault="00652E95" w:rsidP="008D6F89">
            <w:pPr>
              <w:jc w:val="right"/>
              <w:rPr>
                <w:b/>
              </w:rPr>
            </w:pPr>
          </w:p>
        </w:tc>
      </w:tr>
      <w:tr w:rsidR="00652E95" w14:paraId="74A7CBAD" w14:textId="77777777" w:rsidTr="00652E95">
        <w:trPr>
          <w:jc w:val="center"/>
        </w:trPr>
        <w:tc>
          <w:tcPr>
            <w:tcW w:w="1588" w:type="dxa"/>
          </w:tcPr>
          <w:p w14:paraId="412665CB" w14:textId="77777777" w:rsidR="00652E95" w:rsidRDefault="00652E95" w:rsidP="008D6F89"/>
        </w:tc>
        <w:tc>
          <w:tcPr>
            <w:tcW w:w="1951" w:type="dxa"/>
          </w:tcPr>
          <w:p w14:paraId="081D8800" w14:textId="26951712" w:rsidR="00652E95" w:rsidRDefault="00652E95" w:rsidP="008D6F89">
            <w:r>
              <w:t>Tertiary type A</w:t>
            </w:r>
          </w:p>
        </w:tc>
        <w:tc>
          <w:tcPr>
            <w:tcW w:w="992" w:type="dxa"/>
          </w:tcPr>
          <w:p w14:paraId="74BDD64F" w14:textId="54F3E01F" w:rsidR="00652E95" w:rsidRDefault="00652E95" w:rsidP="008D6F89">
            <w:pPr>
              <w:jc w:val="right"/>
            </w:pPr>
            <w:r>
              <w:t>33</w:t>
            </w:r>
          </w:p>
        </w:tc>
        <w:tc>
          <w:tcPr>
            <w:tcW w:w="992" w:type="dxa"/>
          </w:tcPr>
          <w:p w14:paraId="31D39700" w14:textId="2AE9E360" w:rsidR="00652E95" w:rsidRDefault="00652E95" w:rsidP="008D6F89">
            <w:pPr>
              <w:jc w:val="right"/>
            </w:pPr>
            <w:r>
              <w:t>34</w:t>
            </w:r>
          </w:p>
        </w:tc>
        <w:tc>
          <w:tcPr>
            <w:tcW w:w="851" w:type="dxa"/>
          </w:tcPr>
          <w:p w14:paraId="1D54B00C" w14:textId="69C492BE" w:rsidR="00652E95" w:rsidRDefault="00652E95" w:rsidP="008D6F89">
            <w:pPr>
              <w:jc w:val="right"/>
            </w:pPr>
            <w:r>
              <w:t>34</w:t>
            </w:r>
          </w:p>
        </w:tc>
        <w:tc>
          <w:tcPr>
            <w:tcW w:w="992" w:type="dxa"/>
          </w:tcPr>
          <w:p w14:paraId="54F2760E" w14:textId="353E7E0F" w:rsidR="00652E95" w:rsidRDefault="00652E95" w:rsidP="008D6F89">
            <w:pPr>
              <w:jc w:val="right"/>
            </w:pPr>
            <w:r>
              <w:t>38</w:t>
            </w:r>
          </w:p>
        </w:tc>
      </w:tr>
      <w:tr w:rsidR="00652E95" w14:paraId="1A642B4F" w14:textId="77777777" w:rsidTr="00652E95">
        <w:trPr>
          <w:jc w:val="center"/>
        </w:trPr>
        <w:tc>
          <w:tcPr>
            <w:tcW w:w="1588" w:type="dxa"/>
            <w:tcBorders>
              <w:bottom w:val="single" w:sz="4" w:space="0" w:color="auto"/>
            </w:tcBorders>
          </w:tcPr>
          <w:p w14:paraId="3EB90238" w14:textId="77777777" w:rsidR="00652E95" w:rsidRDefault="00652E95" w:rsidP="008D6F89"/>
        </w:tc>
        <w:tc>
          <w:tcPr>
            <w:tcW w:w="1951" w:type="dxa"/>
            <w:tcBorders>
              <w:bottom w:val="single" w:sz="4" w:space="0" w:color="auto"/>
            </w:tcBorders>
          </w:tcPr>
          <w:p w14:paraId="643DAED2" w14:textId="41BC06A1" w:rsidR="00652E95" w:rsidRDefault="00652E95" w:rsidP="008D6F89">
            <w:r>
              <w:t>Tertiary type B</w:t>
            </w:r>
          </w:p>
        </w:tc>
        <w:tc>
          <w:tcPr>
            <w:tcW w:w="992" w:type="dxa"/>
            <w:tcBorders>
              <w:bottom w:val="single" w:sz="4" w:space="0" w:color="auto"/>
            </w:tcBorders>
          </w:tcPr>
          <w:p w14:paraId="21268A0A" w14:textId="3976C2AB" w:rsidR="00652E95" w:rsidRDefault="00652E95" w:rsidP="008D6F89">
            <w:pPr>
              <w:jc w:val="right"/>
            </w:pPr>
            <w:r>
              <w:t>9</w:t>
            </w:r>
          </w:p>
        </w:tc>
        <w:tc>
          <w:tcPr>
            <w:tcW w:w="992" w:type="dxa"/>
            <w:tcBorders>
              <w:bottom w:val="single" w:sz="4" w:space="0" w:color="auto"/>
            </w:tcBorders>
          </w:tcPr>
          <w:p w14:paraId="5E8A575B" w14:textId="1C16DCF6" w:rsidR="00652E95" w:rsidRDefault="00652E95" w:rsidP="008D6F89">
            <w:pPr>
              <w:jc w:val="right"/>
            </w:pPr>
            <w:r>
              <w:t>8</w:t>
            </w:r>
          </w:p>
        </w:tc>
        <w:tc>
          <w:tcPr>
            <w:tcW w:w="851" w:type="dxa"/>
            <w:tcBorders>
              <w:bottom w:val="single" w:sz="4" w:space="0" w:color="auto"/>
            </w:tcBorders>
          </w:tcPr>
          <w:p w14:paraId="7C4620F6" w14:textId="34277DBE" w:rsidR="00652E95" w:rsidRDefault="00652E95" w:rsidP="008D6F89">
            <w:pPr>
              <w:jc w:val="right"/>
            </w:pPr>
            <w:r>
              <w:t>10</w:t>
            </w:r>
          </w:p>
        </w:tc>
        <w:tc>
          <w:tcPr>
            <w:tcW w:w="992" w:type="dxa"/>
            <w:tcBorders>
              <w:bottom w:val="single" w:sz="4" w:space="0" w:color="auto"/>
            </w:tcBorders>
          </w:tcPr>
          <w:p w14:paraId="296B7494" w14:textId="6A0FBA96" w:rsidR="00652E95" w:rsidRDefault="00652E95" w:rsidP="008D6F89">
            <w:pPr>
              <w:jc w:val="right"/>
            </w:pPr>
            <w:r>
              <w:t>11</w:t>
            </w:r>
          </w:p>
        </w:tc>
      </w:tr>
      <w:tr w:rsidR="00652E95" w:rsidRPr="003804FF" w14:paraId="61DDE26D" w14:textId="77777777" w:rsidTr="00652E95">
        <w:trPr>
          <w:jc w:val="center"/>
        </w:trPr>
        <w:tc>
          <w:tcPr>
            <w:tcW w:w="1588" w:type="dxa"/>
            <w:tcBorders>
              <w:bottom w:val="single" w:sz="12" w:space="0" w:color="auto"/>
            </w:tcBorders>
          </w:tcPr>
          <w:p w14:paraId="6C8DF6D0" w14:textId="77777777" w:rsidR="00652E95" w:rsidRPr="003804FF" w:rsidRDefault="00652E95" w:rsidP="008D6F89">
            <w:pPr>
              <w:rPr>
                <w:b/>
              </w:rPr>
            </w:pPr>
          </w:p>
        </w:tc>
        <w:tc>
          <w:tcPr>
            <w:tcW w:w="1951" w:type="dxa"/>
            <w:tcBorders>
              <w:bottom w:val="single" w:sz="12" w:space="0" w:color="auto"/>
            </w:tcBorders>
          </w:tcPr>
          <w:p w14:paraId="0FDE2B80" w14:textId="5CA74531" w:rsidR="00652E95" w:rsidRPr="003804FF" w:rsidRDefault="00652E95" w:rsidP="008D6F89">
            <w:pPr>
              <w:rPr>
                <w:b/>
              </w:rPr>
            </w:pPr>
            <w:r w:rsidRPr="003804FF">
              <w:rPr>
                <w:b/>
              </w:rPr>
              <w:t>Total tertiary</w:t>
            </w:r>
          </w:p>
        </w:tc>
        <w:tc>
          <w:tcPr>
            <w:tcW w:w="992" w:type="dxa"/>
            <w:tcBorders>
              <w:bottom w:val="single" w:sz="12" w:space="0" w:color="auto"/>
            </w:tcBorders>
          </w:tcPr>
          <w:p w14:paraId="43C2ECD1" w14:textId="3D344BDA" w:rsidR="00652E95" w:rsidRPr="003804FF" w:rsidRDefault="00652E95" w:rsidP="008D6F89">
            <w:pPr>
              <w:jc w:val="right"/>
              <w:rPr>
                <w:b/>
              </w:rPr>
            </w:pPr>
            <w:r w:rsidRPr="003804FF">
              <w:rPr>
                <w:b/>
              </w:rPr>
              <w:t>42</w:t>
            </w:r>
          </w:p>
        </w:tc>
        <w:tc>
          <w:tcPr>
            <w:tcW w:w="992" w:type="dxa"/>
            <w:tcBorders>
              <w:bottom w:val="single" w:sz="12" w:space="0" w:color="auto"/>
            </w:tcBorders>
          </w:tcPr>
          <w:p w14:paraId="2803E7C4" w14:textId="2E563B79" w:rsidR="00652E95" w:rsidRPr="003804FF" w:rsidRDefault="00652E95" w:rsidP="008D6F89">
            <w:pPr>
              <w:jc w:val="right"/>
              <w:rPr>
                <w:b/>
              </w:rPr>
            </w:pPr>
            <w:r w:rsidRPr="003804FF">
              <w:rPr>
                <w:b/>
              </w:rPr>
              <w:t>42</w:t>
            </w:r>
          </w:p>
        </w:tc>
        <w:tc>
          <w:tcPr>
            <w:tcW w:w="851" w:type="dxa"/>
            <w:tcBorders>
              <w:bottom w:val="single" w:sz="12" w:space="0" w:color="auto"/>
            </w:tcBorders>
          </w:tcPr>
          <w:p w14:paraId="38DF1BE0" w14:textId="62172E40" w:rsidR="00652E95" w:rsidRPr="003804FF" w:rsidRDefault="00652E95" w:rsidP="008D6F89">
            <w:pPr>
              <w:jc w:val="right"/>
              <w:rPr>
                <w:b/>
              </w:rPr>
            </w:pPr>
            <w:r w:rsidRPr="003804FF">
              <w:rPr>
                <w:b/>
              </w:rPr>
              <w:t>44</w:t>
            </w:r>
          </w:p>
        </w:tc>
        <w:tc>
          <w:tcPr>
            <w:tcW w:w="992" w:type="dxa"/>
            <w:tcBorders>
              <w:bottom w:val="single" w:sz="12" w:space="0" w:color="auto"/>
            </w:tcBorders>
          </w:tcPr>
          <w:p w14:paraId="623D39C3" w14:textId="78760127" w:rsidR="00652E95" w:rsidRPr="003804FF" w:rsidRDefault="00652E95" w:rsidP="008D6F89">
            <w:pPr>
              <w:jc w:val="right"/>
              <w:rPr>
                <w:b/>
              </w:rPr>
            </w:pPr>
            <w:r w:rsidRPr="003804FF">
              <w:rPr>
                <w:b/>
              </w:rPr>
              <w:t>49</w:t>
            </w:r>
          </w:p>
        </w:tc>
      </w:tr>
      <w:tr w:rsidR="00652E95" w:rsidRPr="008D6F89" w14:paraId="339C663A" w14:textId="77777777" w:rsidTr="00652E95">
        <w:trPr>
          <w:jc w:val="center"/>
        </w:trPr>
        <w:tc>
          <w:tcPr>
            <w:tcW w:w="1588" w:type="dxa"/>
            <w:tcBorders>
              <w:top w:val="single" w:sz="12" w:space="0" w:color="auto"/>
            </w:tcBorders>
          </w:tcPr>
          <w:p w14:paraId="1AFCC95A" w14:textId="7A93973C" w:rsidR="00652E95" w:rsidRPr="008D6F89" w:rsidRDefault="00652E95" w:rsidP="008D6F89">
            <w:pPr>
              <w:rPr>
                <w:b/>
              </w:rPr>
            </w:pPr>
            <w:r w:rsidRPr="008D6F89">
              <w:rPr>
                <w:b/>
              </w:rPr>
              <w:t>OECD</w:t>
            </w:r>
          </w:p>
        </w:tc>
        <w:tc>
          <w:tcPr>
            <w:tcW w:w="1951" w:type="dxa"/>
            <w:tcBorders>
              <w:top w:val="single" w:sz="12" w:space="0" w:color="auto"/>
            </w:tcBorders>
          </w:tcPr>
          <w:p w14:paraId="184461B7" w14:textId="2DF5467A" w:rsidR="00652E95" w:rsidRPr="008D6F89" w:rsidRDefault="00652E95" w:rsidP="008D6F89">
            <w:pPr>
              <w:rPr>
                <w:b/>
              </w:rPr>
            </w:pPr>
          </w:p>
        </w:tc>
        <w:tc>
          <w:tcPr>
            <w:tcW w:w="992" w:type="dxa"/>
            <w:tcBorders>
              <w:top w:val="single" w:sz="12" w:space="0" w:color="auto"/>
            </w:tcBorders>
          </w:tcPr>
          <w:p w14:paraId="5957EA63" w14:textId="77777777" w:rsidR="00652E95" w:rsidRPr="008D6F89" w:rsidRDefault="00652E95" w:rsidP="008D6F89">
            <w:pPr>
              <w:jc w:val="right"/>
              <w:rPr>
                <w:b/>
              </w:rPr>
            </w:pPr>
          </w:p>
        </w:tc>
        <w:tc>
          <w:tcPr>
            <w:tcW w:w="992" w:type="dxa"/>
            <w:tcBorders>
              <w:top w:val="single" w:sz="12" w:space="0" w:color="auto"/>
            </w:tcBorders>
          </w:tcPr>
          <w:p w14:paraId="1CC7AC7D" w14:textId="77777777" w:rsidR="00652E95" w:rsidRPr="008D6F89" w:rsidRDefault="00652E95" w:rsidP="008D6F89">
            <w:pPr>
              <w:jc w:val="right"/>
              <w:rPr>
                <w:b/>
              </w:rPr>
            </w:pPr>
          </w:p>
        </w:tc>
        <w:tc>
          <w:tcPr>
            <w:tcW w:w="851" w:type="dxa"/>
            <w:tcBorders>
              <w:top w:val="single" w:sz="12" w:space="0" w:color="auto"/>
            </w:tcBorders>
          </w:tcPr>
          <w:p w14:paraId="3330E6B1" w14:textId="77777777" w:rsidR="00652E95" w:rsidRPr="008D6F89" w:rsidRDefault="00652E95" w:rsidP="008D6F89">
            <w:pPr>
              <w:jc w:val="right"/>
              <w:rPr>
                <w:b/>
              </w:rPr>
            </w:pPr>
          </w:p>
        </w:tc>
        <w:tc>
          <w:tcPr>
            <w:tcW w:w="992" w:type="dxa"/>
            <w:tcBorders>
              <w:top w:val="single" w:sz="12" w:space="0" w:color="auto"/>
            </w:tcBorders>
          </w:tcPr>
          <w:p w14:paraId="760EDF60" w14:textId="77777777" w:rsidR="00652E95" w:rsidRPr="008D6F89" w:rsidRDefault="00652E95" w:rsidP="008D6F89">
            <w:pPr>
              <w:jc w:val="right"/>
              <w:rPr>
                <w:b/>
              </w:rPr>
            </w:pPr>
          </w:p>
        </w:tc>
      </w:tr>
      <w:tr w:rsidR="00652E95" w14:paraId="287BB2EB" w14:textId="77777777" w:rsidTr="00652E95">
        <w:trPr>
          <w:jc w:val="center"/>
        </w:trPr>
        <w:tc>
          <w:tcPr>
            <w:tcW w:w="1588" w:type="dxa"/>
          </w:tcPr>
          <w:p w14:paraId="203677E8" w14:textId="77777777" w:rsidR="00652E95" w:rsidRDefault="00652E95" w:rsidP="008D6F89"/>
        </w:tc>
        <w:tc>
          <w:tcPr>
            <w:tcW w:w="1951" w:type="dxa"/>
          </w:tcPr>
          <w:p w14:paraId="120A9EC2" w14:textId="77B631D1" w:rsidR="00652E95" w:rsidRDefault="00652E95" w:rsidP="008D6F89">
            <w:r>
              <w:t>Tertiary type A</w:t>
            </w:r>
          </w:p>
        </w:tc>
        <w:tc>
          <w:tcPr>
            <w:tcW w:w="992" w:type="dxa"/>
          </w:tcPr>
          <w:p w14:paraId="0F55E44A" w14:textId="3A533D79" w:rsidR="00652E95" w:rsidRDefault="00652E95" w:rsidP="008D6F89">
            <w:pPr>
              <w:jc w:val="right"/>
            </w:pPr>
            <w:r>
              <w:t>20</w:t>
            </w:r>
          </w:p>
        </w:tc>
        <w:tc>
          <w:tcPr>
            <w:tcW w:w="992" w:type="dxa"/>
          </w:tcPr>
          <w:p w14:paraId="6D23AFF7" w14:textId="266A2B3E" w:rsidR="00652E95" w:rsidRDefault="00652E95" w:rsidP="008D6F89">
            <w:pPr>
              <w:jc w:val="right"/>
            </w:pPr>
            <w:r>
              <w:t>28</w:t>
            </w:r>
          </w:p>
        </w:tc>
        <w:tc>
          <w:tcPr>
            <w:tcW w:w="851" w:type="dxa"/>
          </w:tcPr>
          <w:p w14:paraId="0D2282B5" w14:textId="5209ACA9" w:rsidR="00652E95" w:rsidRDefault="00652E95" w:rsidP="008D6F89">
            <w:pPr>
              <w:jc w:val="right"/>
            </w:pPr>
            <w:r>
              <w:t>34</w:t>
            </w:r>
          </w:p>
        </w:tc>
        <w:tc>
          <w:tcPr>
            <w:tcW w:w="992" w:type="dxa"/>
          </w:tcPr>
          <w:p w14:paraId="7FFD037C" w14:textId="58319FA4" w:rsidR="00652E95" w:rsidRDefault="00652E95" w:rsidP="008D6F89">
            <w:pPr>
              <w:jc w:val="right"/>
            </w:pPr>
            <w:r>
              <w:t>39</w:t>
            </w:r>
          </w:p>
        </w:tc>
      </w:tr>
      <w:tr w:rsidR="00652E95" w14:paraId="4EB02CD0" w14:textId="77777777" w:rsidTr="00652E95">
        <w:trPr>
          <w:jc w:val="center"/>
        </w:trPr>
        <w:tc>
          <w:tcPr>
            <w:tcW w:w="1588" w:type="dxa"/>
            <w:tcBorders>
              <w:bottom w:val="single" w:sz="4" w:space="0" w:color="auto"/>
            </w:tcBorders>
          </w:tcPr>
          <w:p w14:paraId="5311F2BB" w14:textId="77777777" w:rsidR="00652E95" w:rsidRDefault="00652E95" w:rsidP="008D6F89"/>
        </w:tc>
        <w:tc>
          <w:tcPr>
            <w:tcW w:w="1951" w:type="dxa"/>
            <w:tcBorders>
              <w:bottom w:val="single" w:sz="4" w:space="0" w:color="auto"/>
            </w:tcBorders>
          </w:tcPr>
          <w:p w14:paraId="2C8BB96A" w14:textId="19BCD2EA" w:rsidR="00652E95" w:rsidRDefault="00652E95" w:rsidP="008D6F89">
            <w:r>
              <w:t>Tertiary type B</w:t>
            </w:r>
          </w:p>
        </w:tc>
        <w:tc>
          <w:tcPr>
            <w:tcW w:w="992" w:type="dxa"/>
            <w:tcBorders>
              <w:bottom w:val="single" w:sz="4" w:space="0" w:color="auto"/>
            </w:tcBorders>
          </w:tcPr>
          <w:p w14:paraId="5D717AE5" w14:textId="02C64507" w:rsidR="00652E95" w:rsidRDefault="00652E95" w:rsidP="008D6F89">
            <w:pPr>
              <w:jc w:val="right"/>
            </w:pPr>
            <w:r>
              <w:t>11</w:t>
            </w:r>
          </w:p>
        </w:tc>
        <w:tc>
          <w:tcPr>
            <w:tcW w:w="992" w:type="dxa"/>
            <w:tcBorders>
              <w:bottom w:val="single" w:sz="4" w:space="0" w:color="auto"/>
            </w:tcBorders>
          </w:tcPr>
          <w:p w14:paraId="65848EC9" w14:textId="0B52C6FB" w:rsidR="00652E95" w:rsidRDefault="00652E95" w:rsidP="008D6F89">
            <w:pPr>
              <w:jc w:val="right"/>
            </w:pPr>
            <w:r>
              <w:t>9</w:t>
            </w:r>
          </w:p>
        </w:tc>
        <w:tc>
          <w:tcPr>
            <w:tcW w:w="851" w:type="dxa"/>
            <w:tcBorders>
              <w:bottom w:val="single" w:sz="4" w:space="0" w:color="auto"/>
            </w:tcBorders>
          </w:tcPr>
          <w:p w14:paraId="2966AEEE" w14:textId="01A84FD3" w:rsidR="00652E95" w:rsidRDefault="00652E95" w:rsidP="008D6F89">
            <w:pPr>
              <w:jc w:val="right"/>
            </w:pPr>
            <w:r>
              <w:t>9</w:t>
            </w:r>
          </w:p>
        </w:tc>
        <w:tc>
          <w:tcPr>
            <w:tcW w:w="992" w:type="dxa"/>
            <w:tcBorders>
              <w:bottom w:val="single" w:sz="4" w:space="0" w:color="auto"/>
            </w:tcBorders>
          </w:tcPr>
          <w:p w14:paraId="6351A83E" w14:textId="310B0472" w:rsidR="00652E95" w:rsidRDefault="00652E95" w:rsidP="008D6F89">
            <w:pPr>
              <w:jc w:val="right"/>
            </w:pPr>
            <w:r>
              <w:t>10</w:t>
            </w:r>
          </w:p>
        </w:tc>
      </w:tr>
      <w:tr w:rsidR="00652E95" w:rsidRPr="003804FF" w14:paraId="056509E0" w14:textId="77777777" w:rsidTr="00652E95">
        <w:trPr>
          <w:jc w:val="center"/>
        </w:trPr>
        <w:tc>
          <w:tcPr>
            <w:tcW w:w="1588" w:type="dxa"/>
            <w:tcBorders>
              <w:bottom w:val="single" w:sz="12" w:space="0" w:color="auto"/>
            </w:tcBorders>
          </w:tcPr>
          <w:p w14:paraId="121AB461" w14:textId="77777777" w:rsidR="00652E95" w:rsidRPr="003804FF" w:rsidRDefault="00652E95" w:rsidP="008D6F89">
            <w:pPr>
              <w:rPr>
                <w:b/>
              </w:rPr>
            </w:pPr>
          </w:p>
        </w:tc>
        <w:tc>
          <w:tcPr>
            <w:tcW w:w="1951" w:type="dxa"/>
            <w:tcBorders>
              <w:bottom w:val="single" w:sz="12" w:space="0" w:color="auto"/>
            </w:tcBorders>
          </w:tcPr>
          <w:p w14:paraId="57B3FCAE" w14:textId="5CC29DE2" w:rsidR="00652E95" w:rsidRPr="003804FF" w:rsidRDefault="00652E95" w:rsidP="008D6F89">
            <w:pPr>
              <w:rPr>
                <w:b/>
              </w:rPr>
            </w:pPr>
            <w:r w:rsidRPr="003804FF">
              <w:rPr>
                <w:b/>
              </w:rPr>
              <w:t>Total tertiary</w:t>
            </w:r>
          </w:p>
        </w:tc>
        <w:tc>
          <w:tcPr>
            <w:tcW w:w="992" w:type="dxa"/>
            <w:tcBorders>
              <w:bottom w:val="single" w:sz="12" w:space="0" w:color="auto"/>
            </w:tcBorders>
          </w:tcPr>
          <w:p w14:paraId="02B7A2A3" w14:textId="768963D9" w:rsidR="00652E95" w:rsidRPr="003804FF" w:rsidRDefault="00652E95" w:rsidP="008D6F89">
            <w:pPr>
              <w:jc w:val="right"/>
              <w:rPr>
                <w:b/>
              </w:rPr>
            </w:pPr>
            <w:r>
              <w:rPr>
                <w:b/>
              </w:rPr>
              <w:t>31</w:t>
            </w:r>
          </w:p>
        </w:tc>
        <w:tc>
          <w:tcPr>
            <w:tcW w:w="992" w:type="dxa"/>
            <w:tcBorders>
              <w:bottom w:val="single" w:sz="12" w:space="0" w:color="auto"/>
            </w:tcBorders>
          </w:tcPr>
          <w:p w14:paraId="59E6FDD6" w14:textId="413A5987" w:rsidR="00652E95" w:rsidRPr="003804FF" w:rsidRDefault="00652E95" w:rsidP="008D6F89">
            <w:pPr>
              <w:jc w:val="right"/>
              <w:rPr>
                <w:b/>
              </w:rPr>
            </w:pPr>
            <w:r>
              <w:rPr>
                <w:b/>
              </w:rPr>
              <w:t>37</w:t>
            </w:r>
          </w:p>
        </w:tc>
        <w:tc>
          <w:tcPr>
            <w:tcW w:w="851" w:type="dxa"/>
            <w:tcBorders>
              <w:bottom w:val="single" w:sz="12" w:space="0" w:color="auto"/>
            </w:tcBorders>
          </w:tcPr>
          <w:p w14:paraId="0DA4E48C" w14:textId="04A1760C" w:rsidR="00652E95" w:rsidRPr="003804FF" w:rsidRDefault="00652E95" w:rsidP="008D6F89">
            <w:pPr>
              <w:jc w:val="right"/>
              <w:rPr>
                <w:b/>
              </w:rPr>
            </w:pPr>
            <w:r>
              <w:rPr>
                <w:b/>
              </w:rPr>
              <w:t>43</w:t>
            </w:r>
          </w:p>
        </w:tc>
        <w:tc>
          <w:tcPr>
            <w:tcW w:w="992" w:type="dxa"/>
            <w:tcBorders>
              <w:bottom w:val="single" w:sz="12" w:space="0" w:color="auto"/>
            </w:tcBorders>
          </w:tcPr>
          <w:p w14:paraId="09E08543" w14:textId="0EB659D8" w:rsidR="00652E95" w:rsidRPr="003804FF" w:rsidRDefault="00652E95" w:rsidP="008D6F89">
            <w:pPr>
              <w:jc w:val="right"/>
              <w:rPr>
                <w:b/>
              </w:rPr>
            </w:pPr>
            <w:r>
              <w:rPr>
                <w:b/>
              </w:rPr>
              <w:t>49</w:t>
            </w:r>
          </w:p>
        </w:tc>
      </w:tr>
    </w:tbl>
    <w:p w14:paraId="65E3BCF7" w14:textId="77777777" w:rsidR="000D3FA0" w:rsidRDefault="000D3FA0" w:rsidP="00D47147"/>
    <w:p w14:paraId="04198056" w14:textId="5BBFD044" w:rsidR="00CC3620" w:rsidRDefault="00D178F2" w:rsidP="00D47147">
      <w:r>
        <w:t xml:space="preserve">Source: </w:t>
      </w:r>
      <w:r w:rsidR="00F4666A" w:rsidRPr="007D58BF">
        <w:t>OECD (2013)</w:t>
      </w:r>
      <w:r w:rsidR="00F4666A">
        <w:t xml:space="preserve"> </w:t>
      </w:r>
      <w:r w:rsidRPr="00F4666A">
        <w:t>Table A3.2a. Trends in tertiary graduation rates (1995-2011)</w:t>
      </w:r>
    </w:p>
    <w:p w14:paraId="615D1C7C" w14:textId="77777777" w:rsidR="00CC3620" w:rsidRDefault="00CC3620" w:rsidP="00D47147"/>
    <w:p w14:paraId="33F7B534" w14:textId="37229AB0" w:rsidR="00795891" w:rsidRDefault="00F234BB" w:rsidP="00132585">
      <w:pPr>
        <w:rPr>
          <w:rStyle w:val="A3"/>
          <w:rFonts w:cs="Times New Roman"/>
          <w:b w:val="0"/>
          <w:sz w:val="24"/>
          <w:szCs w:val="24"/>
        </w:rPr>
      </w:pPr>
      <w:r>
        <w:t>The late Martin Trow’s</w:t>
      </w:r>
      <w:r w:rsidR="00132585">
        <w:t xml:space="preserve"> (1973)</w:t>
      </w:r>
      <w:r>
        <w:t xml:space="preserve"> stages or types of higher education </w:t>
      </w:r>
      <w:r w:rsidR="00F50882">
        <w:t>are</w:t>
      </w:r>
      <w:r>
        <w:t xml:space="preserve"> based on participation rates: </w:t>
      </w:r>
      <w:r w:rsidR="00132585">
        <w:t xml:space="preserve">where </w:t>
      </w:r>
      <w:r>
        <w:t xml:space="preserve">0-15% </w:t>
      </w:r>
      <w:r w:rsidR="00132585">
        <w:t xml:space="preserve">of the higher education attending age group </w:t>
      </w:r>
      <w:r w:rsidR="008E3C27">
        <w:t>enro</w:t>
      </w:r>
      <w:r w:rsidR="00132585">
        <w:t xml:space="preserve">l in higher education the system is </w:t>
      </w:r>
      <w:r>
        <w:t>elite, 16-50% mass and &gt; 50% universal or ope</w:t>
      </w:r>
      <w:r w:rsidR="00132585">
        <w:t>n</w:t>
      </w:r>
      <w:r w:rsidR="004656A4">
        <w:t>. Attainment rates</w:t>
      </w:r>
      <w:r>
        <w:t xml:space="preserve"> ar</w:t>
      </w:r>
      <w:r w:rsidR="004656A4">
        <w:t>e lower than participation rates, 30 percentage points</w:t>
      </w:r>
      <w:r>
        <w:t xml:space="preserve"> </w:t>
      </w:r>
      <w:r w:rsidR="004656A4">
        <w:t>for the OECD as a whole. But even on attainment rates Australia, Canada and the UK are well advanced in introducing universal or open higher education.</w:t>
      </w:r>
      <w:r w:rsidR="00132585">
        <w:t xml:space="preserve"> </w:t>
      </w:r>
      <w:r w:rsidR="008A30B4">
        <w:rPr>
          <w:rStyle w:val="A3"/>
          <w:rFonts w:cs="Times New Roman"/>
          <w:b w:val="0"/>
          <w:sz w:val="24"/>
          <w:szCs w:val="24"/>
        </w:rPr>
        <w:t>Trow observed that these transitions from elite to mass and from mass to universal or open participatio</w:t>
      </w:r>
      <w:r w:rsidR="00763F9E">
        <w:rPr>
          <w:rStyle w:val="A3"/>
          <w:rFonts w:cs="Times New Roman"/>
          <w:b w:val="0"/>
          <w:sz w:val="24"/>
          <w:szCs w:val="24"/>
        </w:rPr>
        <w:t>n in higher education changed 12</w:t>
      </w:r>
      <w:r w:rsidR="002A0CFA">
        <w:rPr>
          <w:rStyle w:val="A3"/>
          <w:rFonts w:cs="Times New Roman"/>
          <w:b w:val="0"/>
          <w:sz w:val="24"/>
          <w:szCs w:val="24"/>
        </w:rPr>
        <w:t xml:space="preserve"> dimensions of higher education:</w:t>
      </w:r>
      <w:r w:rsidR="008A30B4">
        <w:rPr>
          <w:rStyle w:val="A3"/>
          <w:rFonts w:cs="Times New Roman"/>
          <w:b w:val="0"/>
          <w:sz w:val="24"/>
          <w:szCs w:val="24"/>
        </w:rPr>
        <w:t xml:space="preserve"> its size, attitudes to access, functions, curriculum, pedagogy, the student ‘career’, institutional characteristics, public decision making, academic standards, </w:t>
      </w:r>
      <w:r w:rsidR="00763F9E">
        <w:rPr>
          <w:rStyle w:val="A3"/>
          <w:rFonts w:cs="Times New Roman"/>
          <w:b w:val="0"/>
          <w:sz w:val="24"/>
          <w:szCs w:val="24"/>
        </w:rPr>
        <w:t>access and selection, internal decision making and internal administration (see also Brennan, 2004</w:t>
      </w:r>
      <w:r w:rsidR="00543C62">
        <w:rPr>
          <w:rStyle w:val="A3"/>
          <w:rFonts w:cs="Times New Roman"/>
          <w:b w:val="0"/>
          <w:sz w:val="24"/>
          <w:szCs w:val="24"/>
        </w:rPr>
        <w:t xml:space="preserve"> and Trow, 2005</w:t>
      </w:r>
      <w:r w:rsidR="00763F9E">
        <w:rPr>
          <w:rStyle w:val="A3"/>
          <w:rFonts w:cs="Times New Roman"/>
          <w:b w:val="0"/>
          <w:sz w:val="24"/>
          <w:szCs w:val="24"/>
        </w:rPr>
        <w:t>).</w:t>
      </w:r>
      <w:r w:rsidR="002A0CFA">
        <w:rPr>
          <w:rStyle w:val="A3"/>
          <w:rFonts w:cs="Times New Roman"/>
          <w:b w:val="0"/>
          <w:sz w:val="24"/>
          <w:szCs w:val="24"/>
        </w:rPr>
        <w:t xml:space="preserve"> A full comparison of higher education in the </w:t>
      </w:r>
      <w:r w:rsidR="008E3C27">
        <w:rPr>
          <w:rStyle w:val="A3"/>
          <w:rFonts w:cs="Times New Roman"/>
          <w:b w:val="0"/>
          <w:sz w:val="24"/>
          <w:szCs w:val="24"/>
        </w:rPr>
        <w:t>3</w:t>
      </w:r>
      <w:r w:rsidR="002A0CFA">
        <w:rPr>
          <w:rStyle w:val="A3"/>
          <w:rFonts w:cs="Times New Roman"/>
          <w:b w:val="0"/>
          <w:sz w:val="24"/>
          <w:szCs w:val="24"/>
        </w:rPr>
        <w:t xml:space="preserve"> jurisdictions would consider these and probably other characteristics. However, this paper concentrates on </w:t>
      </w:r>
      <w:r w:rsidR="006178EF">
        <w:rPr>
          <w:rStyle w:val="A3"/>
          <w:rFonts w:cs="Times New Roman"/>
          <w:b w:val="0"/>
          <w:sz w:val="24"/>
          <w:szCs w:val="24"/>
        </w:rPr>
        <w:t xml:space="preserve">aspects of government policy </w:t>
      </w:r>
      <w:r w:rsidR="00702984">
        <w:rPr>
          <w:rStyle w:val="A3"/>
          <w:rFonts w:cs="Times New Roman"/>
          <w:b w:val="0"/>
          <w:sz w:val="24"/>
          <w:szCs w:val="24"/>
        </w:rPr>
        <w:t xml:space="preserve">and administration </w:t>
      </w:r>
      <w:r w:rsidR="006178EF">
        <w:rPr>
          <w:rStyle w:val="A3"/>
          <w:rFonts w:cs="Times New Roman"/>
          <w:b w:val="0"/>
          <w:sz w:val="24"/>
          <w:szCs w:val="24"/>
        </w:rPr>
        <w:t xml:space="preserve">which </w:t>
      </w:r>
      <w:r w:rsidR="00702984">
        <w:rPr>
          <w:rStyle w:val="A3"/>
          <w:rFonts w:cs="Times New Roman"/>
          <w:b w:val="0"/>
          <w:sz w:val="24"/>
          <w:szCs w:val="24"/>
        </w:rPr>
        <w:t>seem most distinctive or malleable: the mechanism for coordinat</w:t>
      </w:r>
      <w:r w:rsidR="009F0EC3">
        <w:rPr>
          <w:rStyle w:val="A3"/>
          <w:rFonts w:cs="Times New Roman"/>
          <w:b w:val="0"/>
          <w:sz w:val="24"/>
          <w:szCs w:val="24"/>
        </w:rPr>
        <w:t>ing higher education, financing</w:t>
      </w:r>
      <w:r w:rsidR="002E1325">
        <w:rPr>
          <w:rStyle w:val="A3"/>
          <w:rFonts w:cs="Times New Roman"/>
          <w:b w:val="0"/>
          <w:sz w:val="24"/>
          <w:szCs w:val="24"/>
        </w:rPr>
        <w:t>,</w:t>
      </w:r>
      <w:r w:rsidR="009F0EC3">
        <w:rPr>
          <w:rStyle w:val="A3"/>
          <w:rFonts w:cs="Times New Roman"/>
          <w:b w:val="0"/>
          <w:sz w:val="24"/>
          <w:szCs w:val="24"/>
        </w:rPr>
        <w:t xml:space="preserve"> the</w:t>
      </w:r>
      <w:r w:rsidR="00702984">
        <w:rPr>
          <w:rStyle w:val="A3"/>
          <w:rFonts w:cs="Times New Roman"/>
          <w:b w:val="0"/>
          <w:sz w:val="24"/>
          <w:szCs w:val="24"/>
        </w:rPr>
        <w:t xml:space="preserve"> role of the second </w:t>
      </w:r>
      <w:r w:rsidR="009F0EC3">
        <w:rPr>
          <w:rStyle w:val="A3"/>
          <w:rFonts w:cs="Times New Roman"/>
          <w:b w:val="0"/>
          <w:sz w:val="24"/>
          <w:szCs w:val="24"/>
        </w:rPr>
        <w:t>tier such as community colleges</w:t>
      </w:r>
      <w:r w:rsidR="002E1325">
        <w:rPr>
          <w:rStyle w:val="A3"/>
          <w:rFonts w:cs="Times New Roman"/>
          <w:b w:val="0"/>
          <w:sz w:val="24"/>
          <w:szCs w:val="24"/>
        </w:rPr>
        <w:t xml:space="preserve"> and the role of private institutions</w:t>
      </w:r>
      <w:r w:rsidR="009F0EC3">
        <w:rPr>
          <w:rStyle w:val="A3"/>
          <w:rFonts w:cs="Times New Roman"/>
          <w:b w:val="0"/>
          <w:sz w:val="24"/>
          <w:szCs w:val="24"/>
        </w:rPr>
        <w:t>.</w:t>
      </w:r>
      <w:r w:rsidR="008E3C27">
        <w:rPr>
          <w:rStyle w:val="A3"/>
          <w:rFonts w:cs="Times New Roman"/>
          <w:b w:val="0"/>
          <w:sz w:val="24"/>
          <w:szCs w:val="24"/>
        </w:rPr>
        <w:t xml:space="preserve"> </w:t>
      </w:r>
      <w:r w:rsidR="00343A5B">
        <w:rPr>
          <w:rStyle w:val="A3"/>
          <w:rFonts w:cs="Times New Roman"/>
          <w:b w:val="0"/>
          <w:sz w:val="24"/>
          <w:szCs w:val="24"/>
        </w:rPr>
        <w:t xml:space="preserve">Comparing systems that are very similar </w:t>
      </w:r>
      <w:r w:rsidR="00343A5B">
        <w:rPr>
          <w:color w:val="000000"/>
        </w:rPr>
        <w:t>allows one, at least in principle, to identify the distinctive factors which achieve any different results observed (</w:t>
      </w:r>
      <w:r w:rsidR="00343A5B" w:rsidRPr="00C75E95">
        <w:rPr>
          <w:color w:val="000000"/>
        </w:rPr>
        <w:t>Przeworski and</w:t>
      </w:r>
      <w:r w:rsidR="00343A5B">
        <w:rPr>
          <w:color w:val="000000"/>
        </w:rPr>
        <w:t xml:space="preserve"> Teune, </w:t>
      </w:r>
      <w:r w:rsidR="00343A5B" w:rsidRPr="00C75E95">
        <w:rPr>
          <w:color w:val="000000"/>
        </w:rPr>
        <w:t>1970)</w:t>
      </w:r>
      <w:r w:rsidR="00343A5B">
        <w:rPr>
          <w:color w:val="000000"/>
        </w:rPr>
        <w:t>.</w:t>
      </w:r>
    </w:p>
    <w:p w14:paraId="75924665" w14:textId="77777777" w:rsidR="002E1325" w:rsidRDefault="002E1325" w:rsidP="00BD5912">
      <w:pPr>
        <w:pStyle w:val="Default"/>
        <w:rPr>
          <w:rStyle w:val="A3"/>
          <w:rFonts w:ascii="Times New Roman" w:hAnsi="Times New Roman" w:cs="Times New Roman"/>
          <w:b w:val="0"/>
          <w:sz w:val="24"/>
          <w:szCs w:val="24"/>
        </w:rPr>
      </w:pPr>
    </w:p>
    <w:p w14:paraId="73801962" w14:textId="38B1B19F" w:rsidR="009F0EC3" w:rsidRPr="009F0EC3" w:rsidRDefault="00F50882" w:rsidP="009F0EC3">
      <w:pPr>
        <w:pStyle w:val="Heading1"/>
        <w:spacing w:before="0" w:after="0"/>
        <w:rPr>
          <w:rFonts w:ascii="Times New Roman" w:hAnsi="Times New Roman" w:cs="Times New Roman"/>
          <w:sz w:val="24"/>
          <w:szCs w:val="24"/>
        </w:rPr>
      </w:pPr>
      <w:r>
        <w:rPr>
          <w:rFonts w:ascii="Times New Roman" w:hAnsi="Times New Roman" w:cs="Times New Roman"/>
          <w:sz w:val="24"/>
          <w:szCs w:val="24"/>
        </w:rPr>
        <w:t>Policy implementation</w:t>
      </w:r>
      <w:r w:rsidR="009F0EC3" w:rsidRPr="009F0EC3">
        <w:rPr>
          <w:rFonts w:ascii="Times New Roman" w:hAnsi="Times New Roman" w:cs="Times New Roman"/>
          <w:sz w:val="24"/>
          <w:szCs w:val="24"/>
        </w:rPr>
        <w:t xml:space="preserve"> mechanism</w:t>
      </w:r>
      <w:r>
        <w:rPr>
          <w:rFonts w:ascii="Times New Roman" w:hAnsi="Times New Roman" w:cs="Times New Roman"/>
          <w:sz w:val="24"/>
          <w:szCs w:val="24"/>
        </w:rPr>
        <w:t>s</w:t>
      </w:r>
    </w:p>
    <w:p w14:paraId="64E7BFA6" w14:textId="77777777" w:rsidR="00795891" w:rsidRDefault="00795891" w:rsidP="00BD5912">
      <w:pPr>
        <w:pStyle w:val="Default"/>
        <w:rPr>
          <w:rStyle w:val="A3"/>
          <w:rFonts w:ascii="Times New Roman" w:hAnsi="Times New Roman" w:cs="Times New Roman"/>
          <w:b w:val="0"/>
          <w:sz w:val="24"/>
          <w:szCs w:val="24"/>
        </w:rPr>
      </w:pPr>
    </w:p>
    <w:p w14:paraId="01B6E5B1" w14:textId="77777777" w:rsidR="00DB4460" w:rsidRDefault="008E3C27" w:rsidP="00BD5912">
      <w:pPr>
        <w:pStyle w:val="Default"/>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The paper first considers the jurisdictions’ mechanisms for </w:t>
      </w:r>
      <w:r w:rsidR="00DB4460">
        <w:rPr>
          <w:rStyle w:val="A3"/>
          <w:rFonts w:ascii="Times New Roman" w:hAnsi="Times New Roman" w:cs="Times New Roman"/>
          <w:b w:val="0"/>
          <w:sz w:val="24"/>
          <w:szCs w:val="24"/>
        </w:rPr>
        <w:t>implementing government policy on higher education.</w:t>
      </w:r>
    </w:p>
    <w:p w14:paraId="47FFC5F7" w14:textId="77777777" w:rsidR="001D1B66" w:rsidRDefault="001D1B66" w:rsidP="00BD5912">
      <w:pPr>
        <w:pStyle w:val="Default"/>
        <w:rPr>
          <w:rStyle w:val="A3"/>
          <w:rFonts w:ascii="Times New Roman" w:hAnsi="Times New Roman" w:cs="Times New Roman"/>
          <w:b w:val="0"/>
          <w:sz w:val="24"/>
          <w:szCs w:val="24"/>
        </w:rPr>
      </w:pPr>
    </w:p>
    <w:p w14:paraId="79178656" w14:textId="3403CB9C" w:rsidR="009F0EC3" w:rsidRPr="009F0EC3" w:rsidRDefault="009F0EC3" w:rsidP="009F0EC3">
      <w:pPr>
        <w:pStyle w:val="Heading2"/>
        <w:spacing w:before="0"/>
        <w:rPr>
          <w:rStyle w:val="A3"/>
          <w:rFonts w:ascii="Times New Roman" w:hAnsi="Times New Roman" w:cs="Times New Roman"/>
          <w:i/>
          <w:iCs/>
          <w:sz w:val="24"/>
          <w:szCs w:val="24"/>
        </w:rPr>
      </w:pPr>
      <w:r w:rsidRPr="009F0EC3">
        <w:rPr>
          <w:rStyle w:val="A3"/>
          <w:rFonts w:ascii="Times New Roman" w:hAnsi="Times New Roman" w:cs="Times New Roman"/>
          <w:i/>
          <w:iCs/>
          <w:sz w:val="24"/>
          <w:szCs w:val="24"/>
        </w:rPr>
        <w:t>Ontario</w:t>
      </w:r>
    </w:p>
    <w:p w14:paraId="4255EEC0" w14:textId="77777777" w:rsidR="00847BB0" w:rsidRDefault="00847BB0" w:rsidP="00BD5912">
      <w:pPr>
        <w:pStyle w:val="Default"/>
        <w:rPr>
          <w:rStyle w:val="A3"/>
          <w:rFonts w:ascii="Times New Roman" w:hAnsi="Times New Roman" w:cs="Times New Roman"/>
          <w:b w:val="0"/>
          <w:sz w:val="24"/>
          <w:szCs w:val="24"/>
        </w:rPr>
      </w:pPr>
    </w:p>
    <w:p w14:paraId="780CEC38" w14:textId="446E34C6" w:rsidR="00A123B2" w:rsidRDefault="00543C62" w:rsidP="003A2CDE">
      <w:pPr>
        <w:rPr>
          <w:rStyle w:val="A3"/>
          <w:rFonts w:cs="Times New Roman"/>
          <w:b w:val="0"/>
          <w:sz w:val="24"/>
          <w:szCs w:val="24"/>
        </w:rPr>
      </w:pPr>
      <w:r>
        <w:rPr>
          <w:rStyle w:val="A3"/>
          <w:rFonts w:cs="Times New Roman"/>
          <w:b w:val="0"/>
          <w:sz w:val="24"/>
          <w:szCs w:val="24"/>
        </w:rPr>
        <w:t xml:space="preserve">Education is a </w:t>
      </w:r>
      <w:r w:rsidR="00CC5494">
        <w:rPr>
          <w:rStyle w:val="A3"/>
          <w:rFonts w:cs="Times New Roman"/>
          <w:b w:val="0"/>
          <w:sz w:val="24"/>
          <w:szCs w:val="24"/>
        </w:rPr>
        <w:t>provincial responsibility in Canada – the federal government doesn’t have a ministry for education</w:t>
      </w:r>
      <w:r w:rsidR="00EA58F2">
        <w:rPr>
          <w:rStyle w:val="A3"/>
          <w:rFonts w:cs="Times New Roman"/>
          <w:b w:val="0"/>
          <w:sz w:val="24"/>
          <w:szCs w:val="24"/>
        </w:rPr>
        <w:t xml:space="preserve">, altho the federal industry portfolio </w:t>
      </w:r>
      <w:r w:rsidR="00A123B2">
        <w:rPr>
          <w:rStyle w:val="A3"/>
          <w:rFonts w:cs="Times New Roman"/>
          <w:b w:val="0"/>
          <w:sz w:val="24"/>
          <w:szCs w:val="24"/>
        </w:rPr>
        <w:t>includes science and technology</w:t>
      </w:r>
      <w:r w:rsidR="009C4CD1">
        <w:rPr>
          <w:rStyle w:val="A3"/>
          <w:rFonts w:cs="Times New Roman"/>
          <w:b w:val="0"/>
          <w:sz w:val="24"/>
          <w:szCs w:val="24"/>
        </w:rPr>
        <w:t xml:space="preserve"> and funds much university research including the three major peer evaluated research granting councils</w:t>
      </w:r>
      <w:r w:rsidR="00EA58F2">
        <w:rPr>
          <w:rStyle w:val="A3"/>
          <w:rFonts w:cs="Times New Roman"/>
          <w:b w:val="0"/>
          <w:sz w:val="24"/>
          <w:szCs w:val="24"/>
        </w:rPr>
        <w:t>. T</w:t>
      </w:r>
      <w:r w:rsidR="003A2CDE">
        <w:rPr>
          <w:rStyle w:val="A3"/>
          <w:rFonts w:cs="Times New Roman"/>
          <w:b w:val="0"/>
          <w:sz w:val="24"/>
          <w:szCs w:val="24"/>
        </w:rPr>
        <w:t xml:space="preserve">he </w:t>
      </w:r>
      <w:r w:rsidR="003A2CDE" w:rsidRPr="003A2CDE">
        <w:rPr>
          <w:rStyle w:val="A3"/>
          <w:rFonts w:cs="Times New Roman"/>
          <w:b w:val="0"/>
          <w:sz w:val="24"/>
          <w:szCs w:val="24"/>
        </w:rPr>
        <w:t>Government of Ontario’s</w:t>
      </w:r>
      <w:r w:rsidRPr="003A2CDE">
        <w:rPr>
          <w:rStyle w:val="A3"/>
          <w:rFonts w:cs="Times New Roman"/>
          <w:b w:val="0"/>
          <w:sz w:val="24"/>
          <w:szCs w:val="24"/>
        </w:rPr>
        <w:t xml:space="preserve"> polic</w:t>
      </w:r>
      <w:r w:rsidR="003A2CDE" w:rsidRPr="003A2CDE">
        <w:rPr>
          <w:rStyle w:val="A3"/>
          <w:rFonts w:cs="Times New Roman"/>
          <w:b w:val="0"/>
          <w:sz w:val="24"/>
          <w:szCs w:val="24"/>
        </w:rPr>
        <w:t>y on higher education</w:t>
      </w:r>
      <w:r w:rsidRPr="003A2CDE">
        <w:rPr>
          <w:rStyle w:val="A3"/>
          <w:rFonts w:cs="Times New Roman"/>
          <w:b w:val="0"/>
          <w:sz w:val="24"/>
          <w:szCs w:val="24"/>
        </w:rPr>
        <w:t xml:space="preserve"> is the responsibility of the Ministry of Training, Colleges and Universities</w:t>
      </w:r>
      <w:r w:rsidR="009C4CD1">
        <w:rPr>
          <w:rStyle w:val="A3"/>
          <w:rFonts w:cs="Times New Roman"/>
          <w:b w:val="0"/>
          <w:sz w:val="24"/>
          <w:szCs w:val="24"/>
        </w:rPr>
        <w:t xml:space="preserve"> and its</w:t>
      </w:r>
      <w:r w:rsidR="003A2CDE" w:rsidRPr="003A2CDE">
        <w:rPr>
          <w:rStyle w:val="A3"/>
          <w:rFonts w:cs="Times New Roman"/>
          <w:b w:val="0"/>
          <w:sz w:val="24"/>
          <w:szCs w:val="24"/>
        </w:rPr>
        <w:t xml:space="preserve"> research</w:t>
      </w:r>
      <w:r w:rsidR="009C4CD1">
        <w:rPr>
          <w:rStyle w:val="A3"/>
          <w:rFonts w:cs="Times New Roman"/>
          <w:b w:val="0"/>
          <w:sz w:val="24"/>
          <w:szCs w:val="24"/>
        </w:rPr>
        <w:t xml:space="preserve"> policy and funding</w:t>
      </w:r>
      <w:r w:rsidR="003A2CDE" w:rsidRPr="003A2CDE">
        <w:rPr>
          <w:rStyle w:val="A3"/>
          <w:rFonts w:cs="Times New Roman"/>
          <w:b w:val="0"/>
          <w:sz w:val="24"/>
          <w:szCs w:val="24"/>
        </w:rPr>
        <w:t xml:space="preserve"> is the responsibility of the Ministry of Research and Innovation</w:t>
      </w:r>
      <w:r w:rsidR="009C4CD1">
        <w:rPr>
          <w:rStyle w:val="A3"/>
          <w:rFonts w:cs="Times New Roman"/>
          <w:b w:val="0"/>
          <w:sz w:val="24"/>
          <w:szCs w:val="24"/>
        </w:rPr>
        <w:t>. B</w:t>
      </w:r>
      <w:r w:rsidRPr="003A2CDE">
        <w:rPr>
          <w:rStyle w:val="A3"/>
          <w:rFonts w:cs="Times New Roman"/>
          <w:b w:val="0"/>
          <w:sz w:val="24"/>
          <w:szCs w:val="24"/>
        </w:rPr>
        <w:t>ecause of the stan</w:t>
      </w:r>
      <w:r w:rsidR="009C4CD1">
        <w:rPr>
          <w:rStyle w:val="A3"/>
          <w:rFonts w:cs="Times New Roman"/>
          <w:b w:val="0"/>
          <w:sz w:val="24"/>
          <w:szCs w:val="24"/>
        </w:rPr>
        <w:t>ding of universities in Ontario</w:t>
      </w:r>
      <w:r w:rsidRPr="003A2CDE">
        <w:rPr>
          <w:rStyle w:val="A3"/>
          <w:rFonts w:cs="Times New Roman"/>
          <w:b w:val="0"/>
          <w:sz w:val="24"/>
          <w:szCs w:val="24"/>
        </w:rPr>
        <w:t xml:space="preserve"> responsibility for key aspects of higher education policy such as quality assurance is effectively shared with universities. </w:t>
      </w:r>
    </w:p>
    <w:p w14:paraId="7D576117" w14:textId="77777777" w:rsidR="00A123B2" w:rsidRDefault="00A123B2" w:rsidP="003A2CDE">
      <w:pPr>
        <w:rPr>
          <w:rStyle w:val="A3"/>
          <w:rFonts w:cs="Times New Roman"/>
          <w:b w:val="0"/>
          <w:sz w:val="24"/>
          <w:szCs w:val="24"/>
        </w:rPr>
      </w:pPr>
    </w:p>
    <w:p w14:paraId="7463C4D6" w14:textId="4A43F2F8" w:rsidR="00293CD0" w:rsidRPr="0093626C" w:rsidRDefault="0068560D" w:rsidP="005C086E">
      <w:pPr>
        <w:widowControl w:val="0"/>
        <w:autoSpaceDE w:val="0"/>
        <w:autoSpaceDN w:val="0"/>
        <w:adjustRightInd w:val="0"/>
        <w:rPr>
          <w:rFonts w:eastAsiaTheme="minorEastAsia"/>
        </w:rPr>
      </w:pPr>
      <w:r>
        <w:rPr>
          <w:rStyle w:val="A3"/>
          <w:rFonts w:cs="Times New Roman"/>
          <w:b w:val="0"/>
          <w:sz w:val="24"/>
          <w:szCs w:val="24"/>
        </w:rPr>
        <w:t>T</w:t>
      </w:r>
      <w:r w:rsidR="00543C62" w:rsidRPr="003A2CDE">
        <w:rPr>
          <w:rStyle w:val="A3"/>
          <w:rFonts w:cs="Times New Roman"/>
          <w:b w:val="0"/>
          <w:sz w:val="24"/>
          <w:szCs w:val="24"/>
        </w:rPr>
        <w:t>he Ontario Govern</w:t>
      </w:r>
      <w:r w:rsidR="00F366A1">
        <w:rPr>
          <w:rStyle w:val="A3"/>
          <w:rFonts w:cs="Times New Roman"/>
          <w:b w:val="0"/>
          <w:sz w:val="24"/>
          <w:szCs w:val="24"/>
        </w:rPr>
        <w:t xml:space="preserve">ment’s current policy on postsecondary </w:t>
      </w:r>
      <w:r w:rsidR="00543C62" w:rsidRPr="003A2CDE">
        <w:rPr>
          <w:rStyle w:val="A3"/>
          <w:rFonts w:cs="Times New Roman"/>
          <w:b w:val="0"/>
          <w:sz w:val="24"/>
          <w:szCs w:val="24"/>
        </w:rPr>
        <w:t>education</w:t>
      </w:r>
      <w:r w:rsidR="00193D4F">
        <w:rPr>
          <w:rStyle w:val="A3"/>
          <w:rFonts w:cs="Times New Roman"/>
          <w:b w:val="0"/>
          <w:sz w:val="24"/>
          <w:szCs w:val="24"/>
        </w:rPr>
        <w:t xml:space="preserve"> –</w:t>
      </w:r>
      <w:r>
        <w:rPr>
          <w:rStyle w:val="A3"/>
          <w:rFonts w:cs="Times New Roman"/>
          <w:b w:val="0"/>
          <w:sz w:val="24"/>
          <w:szCs w:val="24"/>
        </w:rPr>
        <w:t xml:space="preserve"> </w:t>
      </w:r>
      <w:r w:rsidRPr="0068560D">
        <w:rPr>
          <w:i/>
        </w:rPr>
        <w:t>Putting students first: Ontario's plan for postsecondary education</w:t>
      </w:r>
      <w:r>
        <w:t xml:space="preserve"> (Ministry of Training, Colleges and Universities, 2011)</w:t>
      </w:r>
      <w:r w:rsidR="00DB4460">
        <w:t xml:space="preserve"> – was announced on 30</w:t>
      </w:r>
      <w:r w:rsidR="00193D4F">
        <w:t xml:space="preserve"> May 2011.</w:t>
      </w:r>
      <w:r w:rsidR="008352D5">
        <w:t xml:space="preserve"> The</w:t>
      </w:r>
      <w:r w:rsidR="00514652">
        <w:t xml:space="preserve"> framework for this policy was established by the </w:t>
      </w:r>
      <w:r w:rsidR="00514652" w:rsidRPr="00514652">
        <w:rPr>
          <w:bCs/>
        </w:rPr>
        <w:lastRenderedPageBreak/>
        <w:t>Rae r</w:t>
      </w:r>
      <w:r w:rsidR="00514652">
        <w:rPr>
          <w:bCs/>
        </w:rPr>
        <w:t>eport (2005)</w:t>
      </w:r>
      <w:r w:rsidR="00514652" w:rsidRPr="00514652">
        <w:t xml:space="preserve"> of </w:t>
      </w:r>
      <w:r w:rsidR="009C4CD1">
        <w:t>its</w:t>
      </w:r>
      <w:r w:rsidR="00514652">
        <w:t xml:space="preserve"> review of postsecondary education</w:t>
      </w:r>
      <w:r w:rsidR="00514652" w:rsidRPr="00514652">
        <w:t>.</w:t>
      </w:r>
      <w:r w:rsidR="00514652">
        <w:t xml:space="preserve"> </w:t>
      </w:r>
      <w:r w:rsidR="00514652" w:rsidRPr="0068560D">
        <w:rPr>
          <w:i/>
        </w:rPr>
        <w:t>Putting students first</w:t>
      </w:r>
      <w:r w:rsidR="00514652">
        <w:t xml:space="preserve"> continues the Government’s expan</w:t>
      </w:r>
      <w:r w:rsidR="009C4CD1">
        <w:t>sion of postsecondary education and</w:t>
      </w:r>
      <w:r w:rsidR="00514652">
        <w:t xml:space="preserve"> </w:t>
      </w:r>
      <w:r w:rsidR="00193D4F">
        <w:t>increased</w:t>
      </w:r>
      <w:r w:rsidR="008352D5">
        <w:t xml:space="preserve"> grants and loan</w:t>
      </w:r>
      <w:r w:rsidR="005C0FED">
        <w:t>s for tuition fees and students’</w:t>
      </w:r>
      <w:r w:rsidR="008352D5">
        <w:t xml:space="preserve"> living e</w:t>
      </w:r>
      <w:r w:rsidR="00193D4F">
        <w:t>xpenses, continues regulating</w:t>
      </w:r>
      <w:r w:rsidR="008352D5">
        <w:t xml:space="preserve"> universities’ tuition fees, develops an Onta</w:t>
      </w:r>
      <w:r w:rsidR="00193D4F">
        <w:t>rio Online Institute and guides</w:t>
      </w:r>
      <w:r w:rsidR="008352D5">
        <w:t xml:space="preserve"> institutions </w:t>
      </w:r>
      <w:r w:rsidR="00DE5A3C">
        <w:t>to concentrate on their strengths</w:t>
      </w:r>
      <w:r w:rsidR="008352D5">
        <w:t xml:space="preserve"> (Ministry of Training, Colleges and Universities, 2011).</w:t>
      </w:r>
      <w:r w:rsidR="004D4FEA">
        <w:t xml:space="preserve"> </w:t>
      </w:r>
      <w:r w:rsidR="00293CD0">
        <w:t>In December 2013 the Ministry (2013b) published its ‘Major capacity expansion policy f</w:t>
      </w:r>
      <w:r w:rsidR="00293CD0" w:rsidRPr="008B0079">
        <w:rPr>
          <w:rFonts w:eastAsiaTheme="minorEastAsia"/>
        </w:rPr>
        <w:t>ramework</w:t>
      </w:r>
      <w:r w:rsidR="00293CD0">
        <w:rPr>
          <w:rFonts w:eastAsiaTheme="minorEastAsia"/>
        </w:rPr>
        <w:t>’ and invited submission</w:t>
      </w:r>
      <w:r w:rsidR="0093626C">
        <w:rPr>
          <w:rFonts w:eastAsiaTheme="minorEastAsia"/>
        </w:rPr>
        <w:t xml:space="preserve">s from institutions seeking to expand. </w:t>
      </w:r>
      <w:r w:rsidR="00293CD0">
        <w:rPr>
          <w:rFonts w:eastAsiaTheme="minorEastAsia"/>
        </w:rPr>
        <w:t xml:space="preserve">Municipalities </w:t>
      </w:r>
      <w:r w:rsidR="0093626C">
        <w:rPr>
          <w:rFonts w:eastAsiaTheme="minorEastAsia"/>
        </w:rPr>
        <w:t>were invited to express their interest in host a new or expanded campus thru an institution willing to participate.</w:t>
      </w:r>
    </w:p>
    <w:p w14:paraId="0E6C9933" w14:textId="77777777" w:rsidR="00193D4F" w:rsidRDefault="00193D4F" w:rsidP="005C086E">
      <w:pPr>
        <w:widowControl w:val="0"/>
        <w:autoSpaceDE w:val="0"/>
        <w:autoSpaceDN w:val="0"/>
        <w:adjustRightInd w:val="0"/>
      </w:pPr>
    </w:p>
    <w:p w14:paraId="01B1D057" w14:textId="3CAB7884" w:rsidR="008816B8" w:rsidRPr="00437C71" w:rsidRDefault="007E56CD" w:rsidP="00437C71">
      <w:pPr>
        <w:widowControl w:val="0"/>
        <w:autoSpaceDE w:val="0"/>
        <w:autoSpaceDN w:val="0"/>
        <w:adjustRightInd w:val="0"/>
        <w:rPr>
          <w:rStyle w:val="A3"/>
          <w:rFonts w:cs="Times New Roman"/>
          <w:b w:val="0"/>
          <w:bCs w:val="0"/>
          <w:color w:val="auto"/>
          <w:sz w:val="24"/>
          <w:szCs w:val="24"/>
        </w:rPr>
      </w:pPr>
      <w:r>
        <w:t>The Ontario Governm</w:t>
      </w:r>
      <w:r w:rsidR="00991582">
        <w:t xml:space="preserve">ent has 2 </w:t>
      </w:r>
      <w:r w:rsidR="00991582" w:rsidRPr="00D66606">
        <w:t>mechanisms for guiding institutions’ development</w:t>
      </w:r>
      <w:r w:rsidRPr="00D66606">
        <w:t>s. Multi year accountability agreement</w:t>
      </w:r>
      <w:r w:rsidR="008C4E71" w:rsidRPr="00D66606">
        <w:t>s</w:t>
      </w:r>
      <w:r w:rsidRPr="00D66606">
        <w:t xml:space="preserve"> with each </w:t>
      </w:r>
      <w:r w:rsidR="00193D4F" w:rsidRPr="00D66606">
        <w:t xml:space="preserve">college </w:t>
      </w:r>
      <w:r w:rsidR="00D66606" w:rsidRPr="00D66606">
        <w:t xml:space="preserve">and university </w:t>
      </w:r>
      <w:r w:rsidR="00376F24" w:rsidRPr="00D66606">
        <w:t>provide</w:t>
      </w:r>
      <w:r w:rsidR="00AE23A0" w:rsidRPr="00D66606">
        <w:t>, amongst several other things,</w:t>
      </w:r>
      <w:r w:rsidR="00991582" w:rsidRPr="00D66606">
        <w:t xml:space="preserve"> enrolment targets, student equity targets, undertakings to offer financial aid to students, </w:t>
      </w:r>
      <w:r w:rsidR="00320DC7" w:rsidRPr="00D66606">
        <w:t xml:space="preserve">undertakings to improve quality, </w:t>
      </w:r>
      <w:r w:rsidR="00AE23A0" w:rsidRPr="00D66606">
        <w:t xml:space="preserve">they </w:t>
      </w:r>
      <w:r w:rsidR="00320DC7" w:rsidRPr="00D66606">
        <w:t>require each institution to administer the National Student Survey of Studen</w:t>
      </w:r>
      <w:r w:rsidR="00376F24" w:rsidRPr="00D66606">
        <w:t>t Engagement</w:t>
      </w:r>
      <w:r w:rsidR="00AE23A0" w:rsidRPr="00D66606">
        <w:t xml:space="preserve"> and report other performance indicators</w:t>
      </w:r>
      <w:r w:rsidR="00376F24" w:rsidRPr="00D66606">
        <w:t xml:space="preserve">, </w:t>
      </w:r>
      <w:r w:rsidR="00AE23A0" w:rsidRPr="00D66606">
        <w:t xml:space="preserve">and set </w:t>
      </w:r>
      <w:r w:rsidR="00376F24" w:rsidRPr="00D66606">
        <w:t xml:space="preserve">retention and graduation targets. </w:t>
      </w:r>
      <w:r w:rsidR="00AE23A0" w:rsidRPr="00D66606">
        <w:t>They also require institutions to ‘</w:t>
      </w:r>
      <w:r w:rsidR="00376F24" w:rsidRPr="00D66606">
        <w:t>provide details on how the institution consulted with faculty, staff and students on the</w:t>
      </w:r>
      <w:r w:rsidR="00AE23A0" w:rsidRPr="00D66606">
        <w:t xml:space="preserve"> </w:t>
      </w:r>
      <w:r w:rsidR="00376F24" w:rsidRPr="00D66606">
        <w:t>content</w:t>
      </w:r>
      <w:r w:rsidR="00332DA8" w:rsidRPr="00D66606">
        <w:t>’ of their action plan (Ministry of Training, Colleges and Universities and University of Waterloo, 2007</w:t>
      </w:r>
      <w:r w:rsidR="00AE23A0" w:rsidRPr="00D66606">
        <w:t>: 19</w:t>
      </w:r>
      <w:r w:rsidR="00332DA8" w:rsidRPr="00D66606">
        <w:t>).</w:t>
      </w:r>
      <w:r w:rsidR="009C4CD1" w:rsidRPr="00D66606">
        <w:t xml:space="preserve"> ‘Strategic mandate agreements’ </w:t>
      </w:r>
      <w:r w:rsidR="00D66606" w:rsidRPr="00D66606">
        <w:t>are to be agreements between the ministry and each college and university to increase ‘the differentiation of the Ontario postsecondary system by asking each Ontario postsecondary institution to articulate an institutional mandate statement identifying its distinctive strengths or aspirations and to identify key objectives aligned with that aspiration’, increase the system’s productivity and share innovations (Higher Education Quality Council of Ontario, 2013: 5). However,</w:t>
      </w:r>
      <w:r w:rsidR="005B203F" w:rsidRPr="00D66606">
        <w:t xml:space="preserve"> an expert panel found that institutions’ submissions</w:t>
      </w:r>
      <w:r w:rsidR="00F366A1">
        <w:t xml:space="preserve"> to begin</w:t>
      </w:r>
      <w:r w:rsidR="00D66606" w:rsidRPr="00D66606">
        <w:t xml:space="preserve"> developing strategic mandate agreements </w:t>
      </w:r>
      <w:r w:rsidR="00A24CDF" w:rsidRPr="00D66606">
        <w:t>did not differentiate them clearly</w:t>
      </w:r>
      <w:r w:rsidR="00D66606" w:rsidRPr="00D66606">
        <w:t xml:space="preserve"> (Higher Education Quality Council of Ontario, 2013: 13)</w:t>
      </w:r>
      <w:r w:rsidR="00A24CDF" w:rsidRPr="00D66606">
        <w:t>.</w:t>
      </w:r>
      <w:r w:rsidR="0068560D" w:rsidRPr="00D66606">
        <w:t xml:space="preserve"> </w:t>
      </w:r>
    </w:p>
    <w:p w14:paraId="1D924897" w14:textId="77777777" w:rsidR="008816B8" w:rsidRDefault="008816B8" w:rsidP="00BD5912">
      <w:pPr>
        <w:pStyle w:val="Default"/>
        <w:rPr>
          <w:rStyle w:val="A3"/>
          <w:rFonts w:ascii="Times New Roman" w:hAnsi="Times New Roman" w:cs="Times New Roman"/>
          <w:b w:val="0"/>
          <w:sz w:val="24"/>
          <w:szCs w:val="24"/>
        </w:rPr>
      </w:pPr>
    </w:p>
    <w:p w14:paraId="5CF46B38" w14:textId="4721583F" w:rsidR="00305983" w:rsidRPr="00305983" w:rsidRDefault="00305983" w:rsidP="00305983">
      <w:pPr>
        <w:pStyle w:val="Heading2"/>
        <w:spacing w:before="0"/>
        <w:rPr>
          <w:rStyle w:val="A3"/>
          <w:rFonts w:ascii="Times New Roman" w:hAnsi="Times New Roman" w:cs="Times New Roman"/>
          <w:i/>
          <w:iCs/>
          <w:sz w:val="24"/>
          <w:szCs w:val="24"/>
        </w:rPr>
      </w:pPr>
      <w:r w:rsidRPr="00305983">
        <w:rPr>
          <w:rStyle w:val="A3"/>
          <w:rFonts w:ascii="Times New Roman" w:hAnsi="Times New Roman" w:cs="Times New Roman"/>
          <w:i/>
          <w:iCs/>
          <w:sz w:val="24"/>
          <w:szCs w:val="24"/>
        </w:rPr>
        <w:t>England</w:t>
      </w:r>
    </w:p>
    <w:p w14:paraId="4E12ED2B" w14:textId="77777777" w:rsidR="00305983" w:rsidRPr="00732B9F" w:rsidRDefault="00305983" w:rsidP="00BD5912">
      <w:pPr>
        <w:pStyle w:val="Default"/>
        <w:rPr>
          <w:rStyle w:val="A3"/>
          <w:rFonts w:ascii="Times New Roman" w:hAnsi="Times New Roman" w:cs="Times New Roman"/>
          <w:b w:val="0"/>
          <w:sz w:val="24"/>
          <w:szCs w:val="24"/>
        </w:rPr>
      </w:pPr>
    </w:p>
    <w:p w14:paraId="1A1568D8" w14:textId="47AA4260" w:rsidR="003D3D4B" w:rsidRPr="00F366A1" w:rsidRDefault="00437C71" w:rsidP="00BD5912">
      <w:pPr>
        <w:pStyle w:val="Default"/>
        <w:rPr>
          <w:rStyle w:val="A3"/>
          <w:rFonts w:ascii="Times New Roman" w:hAnsi="Times New Roman" w:cs="Times New Roman"/>
          <w:b w:val="0"/>
          <w:sz w:val="24"/>
          <w:szCs w:val="24"/>
        </w:rPr>
      </w:pPr>
      <w:r w:rsidRPr="00732B9F">
        <w:rPr>
          <w:rStyle w:val="A3"/>
          <w:rFonts w:ascii="Times New Roman" w:hAnsi="Times New Roman" w:cs="Times New Roman"/>
          <w:b w:val="0"/>
          <w:sz w:val="24"/>
          <w:szCs w:val="24"/>
        </w:rPr>
        <w:t>Responsibility for education in England is shared between the national UK Government and the ‘home nations’ – </w:t>
      </w:r>
      <w:hyperlink r:id="rId8" w:tooltip="England" w:history="1">
        <w:r w:rsidRPr="00732B9F">
          <w:rPr>
            <w:rStyle w:val="A3"/>
            <w:rFonts w:ascii="Times New Roman" w:hAnsi="Times New Roman" w:cs="Times New Roman"/>
            <w:b w:val="0"/>
            <w:sz w:val="24"/>
            <w:szCs w:val="24"/>
          </w:rPr>
          <w:t>England</w:t>
        </w:r>
      </w:hyperlink>
      <w:r w:rsidRPr="00732B9F">
        <w:rPr>
          <w:rStyle w:val="A3"/>
          <w:rFonts w:ascii="Times New Roman" w:hAnsi="Times New Roman" w:cs="Times New Roman"/>
          <w:b w:val="0"/>
          <w:sz w:val="24"/>
          <w:szCs w:val="24"/>
        </w:rPr>
        <w:t>, </w:t>
      </w:r>
      <w:hyperlink r:id="rId9" w:tooltip="Northern Ireland" w:history="1">
        <w:r w:rsidR="00732B9F" w:rsidRPr="00732B9F">
          <w:rPr>
            <w:rStyle w:val="A3"/>
            <w:rFonts w:ascii="Times New Roman" w:hAnsi="Times New Roman" w:cs="Times New Roman"/>
            <w:b w:val="0"/>
            <w:sz w:val="24"/>
            <w:szCs w:val="24"/>
          </w:rPr>
          <w:t>Northern Ireland</w:t>
        </w:r>
      </w:hyperlink>
      <w:r w:rsidR="00732B9F">
        <w:rPr>
          <w:rStyle w:val="A3"/>
          <w:rFonts w:ascii="Times New Roman" w:hAnsi="Times New Roman" w:cs="Times New Roman"/>
          <w:b w:val="0"/>
          <w:sz w:val="24"/>
          <w:szCs w:val="24"/>
        </w:rPr>
        <w:t xml:space="preserve">, </w:t>
      </w:r>
      <w:hyperlink r:id="rId10" w:tooltip="Scotland" w:history="1">
        <w:r w:rsidRPr="00732B9F">
          <w:rPr>
            <w:rStyle w:val="A3"/>
            <w:rFonts w:ascii="Times New Roman" w:hAnsi="Times New Roman" w:cs="Times New Roman"/>
            <w:b w:val="0"/>
            <w:sz w:val="24"/>
            <w:szCs w:val="24"/>
          </w:rPr>
          <w:t>Scotland</w:t>
        </w:r>
      </w:hyperlink>
      <w:r w:rsidR="00732B9F">
        <w:rPr>
          <w:rStyle w:val="A3"/>
          <w:rFonts w:ascii="Times New Roman" w:hAnsi="Times New Roman" w:cs="Times New Roman"/>
          <w:b w:val="0"/>
          <w:sz w:val="24"/>
          <w:szCs w:val="24"/>
        </w:rPr>
        <w:t xml:space="preserve"> and</w:t>
      </w:r>
      <w:r w:rsidRPr="00732B9F">
        <w:rPr>
          <w:rStyle w:val="A3"/>
          <w:rFonts w:ascii="Times New Roman" w:hAnsi="Times New Roman" w:cs="Times New Roman"/>
          <w:b w:val="0"/>
          <w:sz w:val="24"/>
          <w:szCs w:val="24"/>
        </w:rPr>
        <w:t> </w:t>
      </w:r>
      <w:hyperlink r:id="rId11" w:tooltip="Wales" w:history="1">
        <w:r w:rsidRPr="00732B9F">
          <w:rPr>
            <w:rStyle w:val="A3"/>
            <w:rFonts w:ascii="Times New Roman" w:hAnsi="Times New Roman" w:cs="Times New Roman"/>
            <w:b w:val="0"/>
            <w:sz w:val="24"/>
            <w:szCs w:val="24"/>
          </w:rPr>
          <w:t>Wales</w:t>
        </w:r>
      </w:hyperlink>
      <w:r w:rsidR="00732B9F">
        <w:rPr>
          <w:rStyle w:val="A3"/>
          <w:rFonts w:ascii="Times New Roman" w:hAnsi="Times New Roman" w:cs="Times New Roman"/>
          <w:b w:val="0"/>
          <w:sz w:val="24"/>
          <w:szCs w:val="24"/>
        </w:rPr>
        <w:t xml:space="preserve">. Unlike the other home nations, England doesn’t have a separate national </w:t>
      </w:r>
      <w:r w:rsidR="007E5357">
        <w:rPr>
          <w:rStyle w:val="A3"/>
          <w:rFonts w:ascii="Times New Roman" w:hAnsi="Times New Roman" w:cs="Times New Roman"/>
          <w:b w:val="0"/>
          <w:sz w:val="24"/>
          <w:szCs w:val="24"/>
        </w:rPr>
        <w:t>legislative and deliberative body: its laws and policies are determined by the national Parliament</w:t>
      </w:r>
      <w:r w:rsidR="00330D85">
        <w:rPr>
          <w:rStyle w:val="A3"/>
          <w:rFonts w:ascii="Times New Roman" w:hAnsi="Times New Roman" w:cs="Times New Roman"/>
          <w:b w:val="0"/>
          <w:sz w:val="24"/>
          <w:szCs w:val="24"/>
        </w:rPr>
        <w:t xml:space="preserve"> making laws and policies for England alone</w:t>
      </w:r>
      <w:r w:rsidR="007E5357">
        <w:rPr>
          <w:rStyle w:val="A3"/>
          <w:rFonts w:ascii="Times New Roman" w:hAnsi="Times New Roman" w:cs="Times New Roman"/>
          <w:b w:val="0"/>
          <w:sz w:val="24"/>
          <w:szCs w:val="24"/>
        </w:rPr>
        <w:t xml:space="preserve">. </w:t>
      </w:r>
      <w:r w:rsidR="00330D85">
        <w:rPr>
          <w:rStyle w:val="A3"/>
          <w:rFonts w:ascii="Times New Roman" w:hAnsi="Times New Roman" w:cs="Times New Roman"/>
          <w:b w:val="0"/>
          <w:sz w:val="24"/>
          <w:szCs w:val="24"/>
        </w:rPr>
        <w:t>England is 83% of the UK’s population so England is often conflated with the UK. This is pa</w:t>
      </w:r>
      <w:r w:rsidR="00F366A1">
        <w:rPr>
          <w:rStyle w:val="A3"/>
          <w:rFonts w:ascii="Times New Roman" w:hAnsi="Times New Roman" w:cs="Times New Roman"/>
          <w:b w:val="0"/>
          <w:sz w:val="24"/>
          <w:szCs w:val="24"/>
        </w:rPr>
        <w:t>rticularly misleading for postsecondary</w:t>
      </w:r>
      <w:r w:rsidR="00330D85">
        <w:rPr>
          <w:rStyle w:val="A3"/>
          <w:rFonts w:ascii="Times New Roman" w:hAnsi="Times New Roman" w:cs="Times New Roman"/>
          <w:b w:val="0"/>
          <w:sz w:val="24"/>
          <w:szCs w:val="24"/>
        </w:rPr>
        <w:t xml:space="preserve"> education, in which the other home nations have quite different arrangements, especially for tuition fees.</w:t>
      </w:r>
      <w:r w:rsidR="00F366A1">
        <w:rPr>
          <w:rStyle w:val="A3"/>
          <w:rFonts w:ascii="Times New Roman" w:hAnsi="Times New Roman" w:cs="Times New Roman"/>
          <w:b w:val="0"/>
          <w:sz w:val="24"/>
          <w:szCs w:val="24"/>
        </w:rPr>
        <w:t xml:space="preserve"> Postsecondary education </w:t>
      </w:r>
      <w:r w:rsidR="00512118">
        <w:rPr>
          <w:rStyle w:val="A3"/>
          <w:rFonts w:ascii="Times New Roman" w:hAnsi="Times New Roman" w:cs="Times New Roman"/>
          <w:b w:val="0"/>
          <w:sz w:val="24"/>
          <w:szCs w:val="24"/>
        </w:rPr>
        <w:t xml:space="preserve">in England </w:t>
      </w:r>
      <w:r w:rsidR="00F366A1">
        <w:rPr>
          <w:rStyle w:val="A3"/>
          <w:rFonts w:ascii="Times New Roman" w:hAnsi="Times New Roman" w:cs="Times New Roman"/>
          <w:b w:val="0"/>
          <w:sz w:val="24"/>
          <w:szCs w:val="24"/>
        </w:rPr>
        <w:t xml:space="preserve">is the overall responsibility of the Department </w:t>
      </w:r>
      <w:r w:rsidR="003D3D4B" w:rsidRPr="00F366A1">
        <w:rPr>
          <w:rStyle w:val="A3"/>
          <w:rFonts w:ascii="Times New Roman" w:hAnsi="Times New Roman" w:cs="Times New Roman"/>
          <w:b w:val="0"/>
          <w:sz w:val="24"/>
          <w:szCs w:val="24"/>
        </w:rPr>
        <w:t>for Business</w:t>
      </w:r>
      <w:r w:rsidR="00F366A1">
        <w:rPr>
          <w:rStyle w:val="A3"/>
          <w:rFonts w:ascii="Times New Roman" w:hAnsi="Times New Roman" w:cs="Times New Roman"/>
          <w:b w:val="0"/>
          <w:sz w:val="24"/>
          <w:szCs w:val="24"/>
        </w:rPr>
        <w:t xml:space="preserve"> </w:t>
      </w:r>
      <w:r w:rsidR="003D3D4B" w:rsidRPr="00F366A1">
        <w:rPr>
          <w:rStyle w:val="A3"/>
          <w:rFonts w:ascii="Times New Roman" w:hAnsi="Times New Roman" w:cs="Times New Roman"/>
          <w:b w:val="0"/>
          <w:sz w:val="24"/>
          <w:szCs w:val="24"/>
        </w:rPr>
        <w:t>Innovation &amp; Skills</w:t>
      </w:r>
      <w:r w:rsidR="00F366A1">
        <w:rPr>
          <w:rStyle w:val="A3"/>
          <w:rFonts w:ascii="Times New Roman" w:hAnsi="Times New Roman" w:cs="Times New Roman"/>
          <w:b w:val="0"/>
          <w:sz w:val="24"/>
          <w:szCs w:val="24"/>
        </w:rPr>
        <w:t xml:space="preserve"> governed by a </w:t>
      </w:r>
      <w:r w:rsidR="003D3D4B" w:rsidRPr="00F366A1">
        <w:rPr>
          <w:rStyle w:val="A3"/>
          <w:rFonts w:ascii="Times New Roman" w:hAnsi="Times New Roman" w:cs="Times New Roman"/>
          <w:b w:val="0"/>
          <w:sz w:val="24"/>
          <w:szCs w:val="24"/>
        </w:rPr>
        <w:t>Secretary of State</w:t>
      </w:r>
      <w:r w:rsidR="00F366A1">
        <w:rPr>
          <w:rStyle w:val="A3"/>
          <w:rFonts w:ascii="Times New Roman" w:hAnsi="Times New Roman" w:cs="Times New Roman"/>
          <w:b w:val="0"/>
          <w:sz w:val="24"/>
          <w:szCs w:val="24"/>
        </w:rPr>
        <w:t xml:space="preserve">, but much of the lead </w:t>
      </w:r>
      <w:r w:rsidR="00512118">
        <w:rPr>
          <w:rStyle w:val="A3"/>
          <w:rFonts w:ascii="Times New Roman" w:hAnsi="Times New Roman" w:cs="Times New Roman"/>
          <w:b w:val="0"/>
          <w:sz w:val="24"/>
          <w:szCs w:val="24"/>
        </w:rPr>
        <w:t xml:space="preserve">for university education </w:t>
      </w:r>
      <w:r w:rsidR="00F366A1">
        <w:rPr>
          <w:rStyle w:val="A3"/>
          <w:rFonts w:ascii="Times New Roman" w:hAnsi="Times New Roman" w:cs="Times New Roman"/>
          <w:b w:val="0"/>
          <w:sz w:val="24"/>
          <w:szCs w:val="24"/>
        </w:rPr>
        <w:t xml:space="preserve">is taken by the </w:t>
      </w:r>
      <w:hyperlink r:id="rId12" w:history="1">
        <w:r w:rsidR="003D3D4B" w:rsidRPr="00F366A1">
          <w:rPr>
            <w:rStyle w:val="A3"/>
            <w:rFonts w:ascii="Times New Roman" w:hAnsi="Times New Roman" w:cs="Times New Roman"/>
            <w:b w:val="0"/>
            <w:sz w:val="24"/>
            <w:szCs w:val="24"/>
          </w:rPr>
          <w:t>Minister of State for Universities and Science</w:t>
        </w:r>
      </w:hyperlink>
      <w:r w:rsidR="00F366A1">
        <w:rPr>
          <w:rStyle w:val="A3"/>
          <w:rFonts w:ascii="Times New Roman" w:hAnsi="Times New Roman" w:cs="Times New Roman"/>
          <w:b w:val="0"/>
          <w:sz w:val="24"/>
          <w:szCs w:val="24"/>
        </w:rPr>
        <w:t xml:space="preserve"> who is responsible for the </w:t>
      </w:r>
      <w:r w:rsidR="003D3D4B" w:rsidRPr="00F366A1">
        <w:rPr>
          <w:rStyle w:val="A3"/>
          <w:rFonts w:ascii="Times New Roman" w:hAnsi="Times New Roman" w:cs="Times New Roman"/>
          <w:b w:val="0"/>
          <w:sz w:val="24"/>
          <w:szCs w:val="24"/>
        </w:rPr>
        <w:t>Higher Education</w:t>
      </w:r>
      <w:r w:rsidR="009E5395">
        <w:rPr>
          <w:rStyle w:val="A3"/>
          <w:rFonts w:ascii="Times New Roman" w:hAnsi="Times New Roman" w:cs="Times New Roman"/>
          <w:b w:val="0"/>
          <w:sz w:val="24"/>
          <w:szCs w:val="24"/>
        </w:rPr>
        <w:t xml:space="preserve"> Funding Council for England, the Student Loans Company, science and research including research councils </w:t>
      </w:r>
      <w:r w:rsidR="00D77772">
        <w:rPr>
          <w:rStyle w:val="A3"/>
          <w:rFonts w:ascii="Times New Roman" w:hAnsi="Times New Roman" w:cs="Times New Roman"/>
          <w:b w:val="0"/>
          <w:sz w:val="24"/>
          <w:szCs w:val="24"/>
        </w:rPr>
        <w:t>which allocate peer evaluated research grants.</w:t>
      </w:r>
      <w:r w:rsidR="00512118">
        <w:rPr>
          <w:rStyle w:val="A3"/>
          <w:rFonts w:ascii="Times New Roman" w:hAnsi="Times New Roman" w:cs="Times New Roman"/>
          <w:b w:val="0"/>
          <w:sz w:val="24"/>
          <w:szCs w:val="24"/>
        </w:rPr>
        <w:t xml:space="preserve"> Further or college level education is the responsibility of the </w:t>
      </w:r>
      <w:r w:rsidR="00240600" w:rsidRPr="00AD31D5">
        <w:rPr>
          <w:rStyle w:val="A3"/>
          <w:rFonts w:ascii="Times New Roman" w:hAnsi="Times New Roman" w:cs="Times New Roman"/>
          <w:b w:val="0"/>
          <w:sz w:val="24"/>
          <w:szCs w:val="24"/>
        </w:rPr>
        <w:t>Minister of State for Skills and Enterprise</w:t>
      </w:r>
      <w:r w:rsidR="00512118" w:rsidRPr="00AD31D5">
        <w:rPr>
          <w:rStyle w:val="A3"/>
          <w:rFonts w:ascii="Times New Roman" w:hAnsi="Times New Roman" w:cs="Times New Roman"/>
          <w:b w:val="0"/>
          <w:sz w:val="24"/>
          <w:szCs w:val="24"/>
        </w:rPr>
        <w:t xml:space="preserve"> who reports jointly to the Secretary of State for Business, Innovation and Skills and to the Secretary of State for Education. </w:t>
      </w:r>
    </w:p>
    <w:p w14:paraId="4263E569" w14:textId="77777777" w:rsidR="003D3D4B" w:rsidRPr="00992608" w:rsidRDefault="003D3D4B" w:rsidP="00BD5912">
      <w:pPr>
        <w:pStyle w:val="Default"/>
        <w:rPr>
          <w:rStyle w:val="A3"/>
          <w:rFonts w:ascii="Times New Roman" w:hAnsi="Times New Roman" w:cs="Times New Roman"/>
          <w:b w:val="0"/>
          <w:sz w:val="24"/>
          <w:szCs w:val="24"/>
        </w:rPr>
      </w:pPr>
    </w:p>
    <w:p w14:paraId="50FD2492" w14:textId="3A041327" w:rsidR="006F18FB" w:rsidRPr="00992608" w:rsidRDefault="00B82921" w:rsidP="00992608">
      <w:pPr>
        <w:pStyle w:val="Default"/>
        <w:rPr>
          <w:rFonts w:ascii="Times New Roman" w:hAnsi="Times New Roman" w:cs="Times New Roman"/>
          <w:bCs/>
        </w:rPr>
      </w:pPr>
      <w:r w:rsidRPr="00992608">
        <w:rPr>
          <w:rStyle w:val="A3"/>
          <w:rFonts w:ascii="Times New Roman" w:hAnsi="Times New Roman" w:cs="Times New Roman"/>
          <w:b w:val="0"/>
          <w:sz w:val="24"/>
          <w:szCs w:val="24"/>
        </w:rPr>
        <w:t xml:space="preserve">England’s higher education policy is set by the </w:t>
      </w:r>
      <w:r w:rsidR="00087DB4" w:rsidRPr="00992608">
        <w:rPr>
          <w:rStyle w:val="A3"/>
          <w:rFonts w:ascii="Times New Roman" w:hAnsi="Times New Roman" w:cs="Times New Roman"/>
          <w:b w:val="0"/>
          <w:sz w:val="24"/>
          <w:szCs w:val="24"/>
        </w:rPr>
        <w:t xml:space="preserve">higher education white paper </w:t>
      </w:r>
      <w:r w:rsidR="00087DB4" w:rsidRPr="00992608">
        <w:rPr>
          <w:rStyle w:val="A3"/>
          <w:rFonts w:ascii="Times New Roman" w:hAnsi="Times New Roman" w:cs="Times New Roman"/>
          <w:b w:val="0"/>
          <w:i/>
          <w:sz w:val="24"/>
          <w:szCs w:val="24"/>
        </w:rPr>
        <w:t>Higher education: students at the heart of the system</w:t>
      </w:r>
      <w:r w:rsidR="00087DB4" w:rsidRPr="00992608">
        <w:rPr>
          <w:rStyle w:val="A3"/>
          <w:rFonts w:ascii="Times New Roman" w:hAnsi="Times New Roman" w:cs="Times New Roman"/>
          <w:b w:val="0"/>
          <w:sz w:val="24"/>
          <w:szCs w:val="24"/>
        </w:rPr>
        <w:t xml:space="preserve"> (Department for Business I</w:t>
      </w:r>
      <w:r w:rsidRPr="00992608">
        <w:rPr>
          <w:rStyle w:val="A3"/>
          <w:rFonts w:ascii="Times New Roman" w:hAnsi="Times New Roman" w:cs="Times New Roman"/>
          <w:b w:val="0"/>
          <w:sz w:val="24"/>
          <w:szCs w:val="24"/>
        </w:rPr>
        <w:t xml:space="preserve">nnovation and Skills, 2011). </w:t>
      </w:r>
      <w:r w:rsidR="007D7AD4">
        <w:rPr>
          <w:rStyle w:val="A3"/>
          <w:rFonts w:ascii="Times New Roman" w:hAnsi="Times New Roman" w:cs="Times New Roman"/>
          <w:b w:val="0"/>
          <w:sz w:val="24"/>
          <w:szCs w:val="24"/>
        </w:rPr>
        <w:t>In addition to the big changes to financing described below, the policy and subsequent decisions</w:t>
      </w:r>
      <w:r w:rsidR="007D7AD4" w:rsidRPr="00AD31D5">
        <w:rPr>
          <w:rStyle w:val="A3"/>
          <w:rFonts w:ascii="Times New Roman" w:hAnsi="Times New Roman" w:cs="Times New Roman"/>
          <w:b w:val="0"/>
          <w:sz w:val="24"/>
          <w:szCs w:val="24"/>
        </w:rPr>
        <w:t xml:space="preserve"> relaxed the criteria for institutions to gain powers to award degrees and to be designated a university to increase the numbers of private providers and their proportion of enrolments. </w:t>
      </w:r>
      <w:r w:rsidR="007D7AD4">
        <w:rPr>
          <w:rStyle w:val="A3"/>
          <w:rFonts w:ascii="Times New Roman" w:hAnsi="Times New Roman" w:cs="Times New Roman"/>
          <w:b w:val="0"/>
          <w:sz w:val="24"/>
          <w:szCs w:val="24"/>
        </w:rPr>
        <w:t xml:space="preserve"> </w:t>
      </w:r>
      <w:r w:rsidR="00B36F6E" w:rsidRPr="00992608">
        <w:rPr>
          <w:rFonts w:ascii="Times New Roman" w:hAnsi="Times New Roman" w:cs="Times New Roman"/>
        </w:rPr>
        <w:t>The Higher Education Funding Council for England (Hefce, 2013</w:t>
      </w:r>
      <w:r w:rsidR="00485401" w:rsidRPr="00992608">
        <w:rPr>
          <w:rFonts w:ascii="Times New Roman" w:hAnsi="Times New Roman" w:cs="Times New Roman"/>
        </w:rPr>
        <w:t>a</w:t>
      </w:r>
      <w:r w:rsidR="00B36F6E" w:rsidRPr="00992608">
        <w:rPr>
          <w:rFonts w:ascii="Times New Roman" w:hAnsi="Times New Roman" w:cs="Times New Roman"/>
        </w:rPr>
        <w:t xml:space="preserve">) </w:t>
      </w:r>
      <w:r w:rsidR="006F18FB" w:rsidRPr="00992608">
        <w:rPr>
          <w:rFonts w:ascii="Times New Roman" w:hAnsi="Times New Roman" w:cs="Times New Roman"/>
        </w:rPr>
        <w:t xml:space="preserve">makes a financial memorandum </w:t>
      </w:r>
      <w:r w:rsidR="006F18FB" w:rsidRPr="00992608">
        <w:rPr>
          <w:rFonts w:ascii="Times New Roman" w:hAnsi="Times New Roman" w:cs="Times New Roman"/>
        </w:rPr>
        <w:lastRenderedPageBreak/>
        <w:t xml:space="preserve">with each institution which </w:t>
      </w:r>
      <w:r w:rsidR="00B36F6E" w:rsidRPr="00992608">
        <w:rPr>
          <w:rFonts w:ascii="Times New Roman" w:hAnsi="Times New Roman" w:cs="Times New Roman"/>
        </w:rPr>
        <w:t>sets out cond</w:t>
      </w:r>
      <w:r w:rsidR="006F18FB" w:rsidRPr="00992608">
        <w:rPr>
          <w:rFonts w:ascii="Times New Roman" w:hAnsi="Times New Roman" w:cs="Times New Roman"/>
        </w:rPr>
        <w:t xml:space="preserve">itions of grants </w:t>
      </w:r>
      <w:r w:rsidR="00485401" w:rsidRPr="00992608">
        <w:rPr>
          <w:rFonts w:ascii="Times New Roman" w:hAnsi="Times New Roman" w:cs="Times New Roman"/>
        </w:rPr>
        <w:t>which include governance and accountability, quality assurance, research integrity, financial viability and equality and diversity. The conditions also require institutions to provide</w:t>
      </w:r>
      <w:r w:rsidR="00EB1771" w:rsidRPr="00992608">
        <w:rPr>
          <w:rFonts w:ascii="Times New Roman" w:hAnsi="Times New Roman" w:cs="Times New Roman"/>
        </w:rPr>
        <w:t xml:space="preserve"> and mostly publish </w:t>
      </w:r>
      <w:r w:rsidR="006F18FB" w:rsidRPr="00992608">
        <w:rPr>
          <w:rFonts w:ascii="Times New Roman" w:hAnsi="Times New Roman" w:cs="Times New Roman"/>
        </w:rPr>
        <w:t>information including the key information set which includes results of a national student survey, students’ costs and financial support available and graduates’ destinations</w:t>
      </w:r>
      <w:r w:rsidR="00485401" w:rsidRPr="00992608">
        <w:rPr>
          <w:rFonts w:ascii="Times New Roman" w:hAnsi="Times New Roman" w:cs="Times New Roman"/>
        </w:rPr>
        <w:t xml:space="preserve"> (Hefce, 2013</w:t>
      </w:r>
      <w:r w:rsidR="00EB1771" w:rsidRPr="00992608">
        <w:rPr>
          <w:rFonts w:ascii="Times New Roman" w:hAnsi="Times New Roman" w:cs="Times New Roman"/>
        </w:rPr>
        <w:t xml:space="preserve">b). </w:t>
      </w:r>
    </w:p>
    <w:p w14:paraId="5C048C9B" w14:textId="77777777" w:rsidR="006F18FB" w:rsidRPr="00992608" w:rsidRDefault="006F18FB" w:rsidP="006F18FB"/>
    <w:p w14:paraId="53F623AA" w14:textId="3D57C7E0" w:rsidR="00BE099B" w:rsidRDefault="00BE099B" w:rsidP="00B82921">
      <w:r>
        <w:t xml:space="preserve">In 2013 the UK Government announced that it will </w:t>
      </w:r>
      <w:r w:rsidR="00FC7798">
        <w:t xml:space="preserve">subsidise substantially more enrolments </w:t>
      </w:r>
      <w:r w:rsidR="00B87E83">
        <w:t xml:space="preserve">in 2014-15 and remove </w:t>
      </w:r>
      <w:r w:rsidR="00FC7798">
        <w:t xml:space="preserve">the caps on student numbers at publicly </w:t>
      </w:r>
      <w:r w:rsidR="00FC7798" w:rsidRPr="00B66DB0">
        <w:t xml:space="preserve">funded higher education institutions in England </w:t>
      </w:r>
      <w:r>
        <w:t>by 2015-16 (</w:t>
      </w:r>
      <w:r>
        <w:rPr>
          <w:bCs/>
        </w:rPr>
        <w:t xml:space="preserve">HM Treasury, </w:t>
      </w:r>
      <w:r w:rsidRPr="00507378">
        <w:rPr>
          <w:bCs/>
        </w:rPr>
        <w:t>2013</w:t>
      </w:r>
      <w:r>
        <w:rPr>
          <w:bCs/>
        </w:rPr>
        <w:t xml:space="preserve">: 54, paragraph </w:t>
      </w:r>
      <w:r w:rsidRPr="00B66DB0">
        <w:t>1.202</w:t>
      </w:r>
      <w:r w:rsidRPr="00507378">
        <w:rPr>
          <w:bCs/>
        </w:rPr>
        <w:t>)</w:t>
      </w:r>
      <w:r>
        <w:rPr>
          <w:bCs/>
        </w:rPr>
        <w:t>. Again, this follows Australia’s decision to rel</w:t>
      </w:r>
      <w:r w:rsidR="00FC7798">
        <w:rPr>
          <w:bCs/>
        </w:rPr>
        <w:t>ax the caps on publicly subsidis</w:t>
      </w:r>
      <w:r>
        <w:rPr>
          <w:bCs/>
        </w:rPr>
        <w:t>ed places at public universities from 2009 and to remove them from 2012. However, the UK</w:t>
      </w:r>
      <w:r w:rsidR="00B87E83">
        <w:rPr>
          <w:bCs/>
        </w:rPr>
        <w:t xml:space="preserve"> Government will</w:t>
      </w:r>
      <w:r>
        <w:rPr>
          <w:bCs/>
        </w:rPr>
        <w:t xml:space="preserve"> </w:t>
      </w:r>
      <w:r w:rsidR="00FC7798">
        <w:rPr>
          <w:bCs/>
        </w:rPr>
        <w:t xml:space="preserve">go </w:t>
      </w:r>
      <w:r>
        <w:rPr>
          <w:bCs/>
        </w:rPr>
        <w:t xml:space="preserve">much further than Australia </w:t>
      </w:r>
      <w:r w:rsidR="00B87E83">
        <w:rPr>
          <w:bCs/>
        </w:rPr>
        <w:t xml:space="preserve">and will remove caps at private providers also from </w:t>
      </w:r>
      <w:r w:rsidR="00B87E83">
        <w:t>by 2015-16</w:t>
      </w:r>
      <w:r w:rsidR="00FC7798">
        <w:t xml:space="preserve"> (</w:t>
      </w:r>
      <w:r w:rsidR="00FC7798">
        <w:rPr>
          <w:bCs/>
        </w:rPr>
        <w:t xml:space="preserve">HM Treasury, </w:t>
      </w:r>
      <w:r w:rsidR="00FC7798" w:rsidRPr="00507378">
        <w:rPr>
          <w:bCs/>
        </w:rPr>
        <w:t>2013</w:t>
      </w:r>
      <w:r w:rsidR="00FC7798">
        <w:rPr>
          <w:bCs/>
        </w:rPr>
        <w:t xml:space="preserve">: 55, paragraph </w:t>
      </w:r>
      <w:r w:rsidR="00FC7798">
        <w:t>1.204</w:t>
      </w:r>
      <w:r w:rsidR="00FC7798" w:rsidRPr="00507378">
        <w:rPr>
          <w:bCs/>
        </w:rPr>
        <w:t>)</w:t>
      </w:r>
      <w:r w:rsidR="00FC7798">
        <w:t xml:space="preserve">. </w:t>
      </w:r>
    </w:p>
    <w:p w14:paraId="41A05674" w14:textId="77777777" w:rsidR="00B06611" w:rsidRDefault="00B06611" w:rsidP="00B82921"/>
    <w:p w14:paraId="3F218272" w14:textId="5E44F149" w:rsidR="00B06611" w:rsidRDefault="00B06611" w:rsidP="00B82921">
      <w:r>
        <w:t xml:space="preserve">The Government initially planned to make new legislation to establish the conditions for different types of institution, their registration and quality assurance and to </w:t>
      </w:r>
      <w:r w:rsidR="00847BB0">
        <w:t>establish the mechanics of a formal market in higher education. However, the Government has not introduced such legislation yet, reportedly because of the difficulties it anticipates within the Coalition, Parliament, higher educa</w:t>
      </w:r>
      <w:r w:rsidR="005C0FED">
        <w:t>tion institutions, students</w:t>
      </w:r>
      <w:r w:rsidR="00847BB0">
        <w:t xml:space="preserve"> and the public. The Government is therefore introducing its scheme piecemeal by regulation, changing f</w:t>
      </w:r>
      <w:r w:rsidR="005C0FED">
        <w:t>unding conditions and executive</w:t>
      </w:r>
      <w:r w:rsidR="001444F6">
        <w:t xml:space="preserve"> decisions (Hillman, 2014).</w:t>
      </w:r>
    </w:p>
    <w:p w14:paraId="6543499E" w14:textId="77777777" w:rsidR="00305983" w:rsidRDefault="00305983" w:rsidP="00BD5912">
      <w:pPr>
        <w:pStyle w:val="Default"/>
        <w:rPr>
          <w:rStyle w:val="A3"/>
          <w:rFonts w:ascii="Times New Roman" w:hAnsi="Times New Roman" w:cs="Times New Roman"/>
          <w:b w:val="0"/>
          <w:sz w:val="24"/>
          <w:szCs w:val="24"/>
        </w:rPr>
      </w:pPr>
    </w:p>
    <w:p w14:paraId="616C1F58" w14:textId="0BFB50DB" w:rsidR="00305983" w:rsidRPr="00305983" w:rsidRDefault="00305983" w:rsidP="00305983">
      <w:pPr>
        <w:pStyle w:val="Heading2"/>
        <w:spacing w:before="0"/>
        <w:rPr>
          <w:rStyle w:val="A3"/>
          <w:rFonts w:ascii="Times New Roman" w:hAnsi="Times New Roman" w:cs="Times New Roman"/>
          <w:i/>
          <w:iCs/>
          <w:sz w:val="24"/>
          <w:szCs w:val="24"/>
        </w:rPr>
      </w:pPr>
      <w:r w:rsidRPr="00305983">
        <w:rPr>
          <w:rStyle w:val="A3"/>
          <w:rFonts w:ascii="Times New Roman" w:hAnsi="Times New Roman" w:cs="Times New Roman"/>
          <w:i/>
          <w:iCs/>
          <w:sz w:val="24"/>
          <w:szCs w:val="24"/>
        </w:rPr>
        <w:t>Australia</w:t>
      </w:r>
    </w:p>
    <w:p w14:paraId="27C23BC1" w14:textId="77777777" w:rsidR="00305983" w:rsidRDefault="00305983" w:rsidP="00BD5912">
      <w:pPr>
        <w:pStyle w:val="Default"/>
        <w:rPr>
          <w:rStyle w:val="A3"/>
          <w:rFonts w:ascii="Times New Roman" w:hAnsi="Times New Roman" w:cs="Times New Roman"/>
          <w:b w:val="0"/>
          <w:sz w:val="24"/>
          <w:szCs w:val="24"/>
        </w:rPr>
      </w:pPr>
    </w:p>
    <w:p w14:paraId="617B30FB" w14:textId="4E098E3B" w:rsidR="00305983" w:rsidRDefault="005C0FED" w:rsidP="00BD5912">
      <w:pPr>
        <w:pStyle w:val="Default"/>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The Australian Constitution allocates responsibility for education to the </w:t>
      </w:r>
      <w:r w:rsidR="00FF1298">
        <w:rPr>
          <w:rStyle w:val="A3"/>
          <w:rFonts w:ascii="Times New Roman" w:hAnsi="Times New Roman" w:cs="Times New Roman"/>
          <w:b w:val="0"/>
          <w:sz w:val="24"/>
          <w:szCs w:val="24"/>
        </w:rPr>
        <w:t xml:space="preserve">6 state governments. While the states and </w:t>
      </w:r>
      <w:r w:rsidR="00D3593E">
        <w:rPr>
          <w:rStyle w:val="A3"/>
          <w:rFonts w:ascii="Times New Roman" w:hAnsi="Times New Roman" w:cs="Times New Roman"/>
          <w:b w:val="0"/>
          <w:sz w:val="24"/>
          <w:szCs w:val="24"/>
        </w:rPr>
        <w:t xml:space="preserve">the </w:t>
      </w:r>
      <w:r w:rsidR="00FF1298">
        <w:rPr>
          <w:rStyle w:val="A3"/>
          <w:rFonts w:ascii="Times New Roman" w:hAnsi="Times New Roman" w:cs="Times New Roman"/>
          <w:b w:val="0"/>
          <w:sz w:val="24"/>
          <w:szCs w:val="24"/>
        </w:rPr>
        <w:t xml:space="preserve">2 federal </w:t>
      </w:r>
      <w:r w:rsidR="00D3593E">
        <w:rPr>
          <w:rStyle w:val="A3"/>
          <w:rFonts w:ascii="Times New Roman" w:hAnsi="Times New Roman" w:cs="Times New Roman"/>
          <w:b w:val="0"/>
          <w:sz w:val="24"/>
          <w:szCs w:val="24"/>
        </w:rPr>
        <w:t xml:space="preserve">mainland </w:t>
      </w:r>
      <w:r w:rsidR="00FF1298">
        <w:rPr>
          <w:rStyle w:val="A3"/>
          <w:rFonts w:ascii="Times New Roman" w:hAnsi="Times New Roman" w:cs="Times New Roman"/>
          <w:b w:val="0"/>
          <w:sz w:val="24"/>
          <w:szCs w:val="24"/>
        </w:rPr>
        <w:t>territories retain residual powers over higher education, most power is effectively exercised by the federal government. Responsibility for higher education and most research affecting universities is held by the Minister for Education and their Department for Education</w:t>
      </w:r>
      <w:r w:rsidR="00C46FCD">
        <w:rPr>
          <w:rStyle w:val="A3"/>
          <w:rFonts w:ascii="Times New Roman" w:hAnsi="Times New Roman" w:cs="Times New Roman"/>
          <w:b w:val="0"/>
          <w:sz w:val="24"/>
          <w:szCs w:val="24"/>
        </w:rPr>
        <w:t>,</w:t>
      </w:r>
      <w:r w:rsidR="00FF1298">
        <w:rPr>
          <w:rStyle w:val="A3"/>
          <w:rFonts w:ascii="Times New Roman" w:hAnsi="Times New Roman" w:cs="Times New Roman"/>
          <w:b w:val="0"/>
          <w:sz w:val="24"/>
          <w:szCs w:val="24"/>
        </w:rPr>
        <w:t xml:space="preserve"> and responsibility for other aspect</w:t>
      </w:r>
      <w:r w:rsidR="00443A20">
        <w:rPr>
          <w:rStyle w:val="A3"/>
          <w:rFonts w:ascii="Times New Roman" w:hAnsi="Times New Roman" w:cs="Times New Roman"/>
          <w:b w:val="0"/>
          <w:sz w:val="24"/>
          <w:szCs w:val="24"/>
        </w:rPr>
        <w:t xml:space="preserve">s of science and research is held by the </w:t>
      </w:r>
      <w:r w:rsidR="00FF1298">
        <w:rPr>
          <w:rStyle w:val="A3"/>
          <w:rFonts w:ascii="Times New Roman" w:hAnsi="Times New Roman" w:cs="Times New Roman"/>
          <w:b w:val="0"/>
          <w:sz w:val="24"/>
          <w:szCs w:val="24"/>
        </w:rPr>
        <w:t xml:space="preserve">Minister for Industry and their Department. </w:t>
      </w:r>
      <w:r w:rsidR="00AD31D5">
        <w:rPr>
          <w:rStyle w:val="A3"/>
          <w:rFonts w:ascii="Times New Roman" w:hAnsi="Times New Roman" w:cs="Times New Roman"/>
          <w:b w:val="0"/>
          <w:sz w:val="24"/>
          <w:szCs w:val="24"/>
        </w:rPr>
        <w:t>The Minister and Department of</w:t>
      </w:r>
      <w:r w:rsidR="00FF1298">
        <w:rPr>
          <w:rStyle w:val="A3"/>
          <w:rFonts w:ascii="Times New Roman" w:hAnsi="Times New Roman" w:cs="Times New Roman"/>
          <w:b w:val="0"/>
          <w:sz w:val="24"/>
          <w:szCs w:val="24"/>
        </w:rPr>
        <w:t xml:space="preserve"> Industry is also responsible for vocational or college level </w:t>
      </w:r>
      <w:r w:rsidR="00AD31D5">
        <w:rPr>
          <w:rStyle w:val="A3"/>
          <w:rFonts w:ascii="Times New Roman" w:hAnsi="Times New Roman" w:cs="Times New Roman"/>
          <w:b w:val="0"/>
          <w:sz w:val="24"/>
          <w:szCs w:val="24"/>
        </w:rPr>
        <w:t>education</w:t>
      </w:r>
      <w:r w:rsidR="00FF1298">
        <w:rPr>
          <w:rStyle w:val="A3"/>
          <w:rFonts w:ascii="Times New Roman" w:hAnsi="Times New Roman" w:cs="Times New Roman"/>
          <w:b w:val="0"/>
          <w:sz w:val="24"/>
          <w:szCs w:val="24"/>
        </w:rPr>
        <w:t>.</w:t>
      </w:r>
    </w:p>
    <w:p w14:paraId="31C1DF7C" w14:textId="77777777" w:rsidR="008F002B" w:rsidRDefault="008F002B" w:rsidP="00BD5912">
      <w:pPr>
        <w:pStyle w:val="Default"/>
        <w:rPr>
          <w:rStyle w:val="A3"/>
          <w:rFonts w:ascii="Times New Roman" w:hAnsi="Times New Roman" w:cs="Times New Roman"/>
          <w:b w:val="0"/>
          <w:sz w:val="24"/>
          <w:szCs w:val="24"/>
        </w:rPr>
      </w:pPr>
    </w:p>
    <w:p w14:paraId="6A457496" w14:textId="167F4856" w:rsidR="00A138FC" w:rsidRPr="00C56AA0" w:rsidRDefault="008F002B" w:rsidP="00C56AA0">
      <w:pPr>
        <w:rPr>
          <w:rStyle w:val="A3"/>
          <w:rFonts w:ascii="Times" w:eastAsia="Times New Roman" w:hAnsi="Times" w:cs="Times New Roman"/>
          <w:b w:val="0"/>
          <w:bCs w:val="0"/>
          <w:color w:val="auto"/>
          <w:sz w:val="20"/>
          <w:szCs w:val="20"/>
          <w:lang w:eastAsia="en-US"/>
        </w:rPr>
      </w:pPr>
      <w:r>
        <w:rPr>
          <w:rStyle w:val="A3"/>
          <w:rFonts w:cs="Times New Roman"/>
          <w:b w:val="0"/>
          <w:sz w:val="24"/>
          <w:szCs w:val="24"/>
        </w:rPr>
        <w:t xml:space="preserve">Arguably there is currently no formal federal Australian policy on higher education. The most </w:t>
      </w:r>
      <w:r w:rsidRPr="00A138FC">
        <w:rPr>
          <w:rStyle w:val="A3"/>
          <w:rFonts w:cs="Times New Roman"/>
          <w:b w:val="0"/>
          <w:sz w:val="24"/>
          <w:szCs w:val="24"/>
        </w:rPr>
        <w:t xml:space="preserve">recent </w:t>
      </w:r>
      <w:r w:rsidR="00A138FC" w:rsidRPr="00A138FC">
        <w:rPr>
          <w:rStyle w:val="A3"/>
          <w:rFonts w:cs="Times New Roman"/>
          <w:b w:val="0"/>
          <w:sz w:val="24"/>
          <w:szCs w:val="24"/>
        </w:rPr>
        <w:t xml:space="preserve">formal policy statement is </w:t>
      </w:r>
      <w:r w:rsidR="00A138FC" w:rsidRPr="00A138FC">
        <w:rPr>
          <w:i/>
        </w:rPr>
        <w:t>Transforming Australia’s higher education system</w:t>
      </w:r>
      <w:r w:rsidR="00A138FC">
        <w:t xml:space="preserve"> </w:t>
      </w:r>
      <w:r w:rsidR="00A138FC" w:rsidRPr="00A138FC">
        <w:rPr>
          <w:rStyle w:val="A3"/>
          <w:rFonts w:cs="Times New Roman"/>
          <w:b w:val="0"/>
          <w:sz w:val="24"/>
          <w:szCs w:val="24"/>
        </w:rPr>
        <w:t>(Commonwealth of Australia (2009)</w:t>
      </w:r>
      <w:r w:rsidR="00A138FC">
        <w:rPr>
          <w:rStyle w:val="A3"/>
          <w:rFonts w:cs="Times New Roman"/>
          <w:b w:val="0"/>
          <w:sz w:val="24"/>
          <w:szCs w:val="24"/>
        </w:rPr>
        <w:t xml:space="preserve">. </w:t>
      </w:r>
      <w:r w:rsidR="00794A63">
        <w:rPr>
          <w:rStyle w:val="A3"/>
          <w:rFonts w:cs="Times New Roman"/>
          <w:b w:val="0"/>
          <w:sz w:val="24"/>
          <w:szCs w:val="24"/>
        </w:rPr>
        <w:t xml:space="preserve">However, that statement was issued by the former Labor Government. A new </w:t>
      </w:r>
      <w:r w:rsidR="008E39E4">
        <w:rPr>
          <w:rStyle w:val="A3"/>
          <w:rFonts w:cs="Times New Roman"/>
          <w:b w:val="0"/>
          <w:sz w:val="24"/>
          <w:szCs w:val="24"/>
        </w:rPr>
        <w:t xml:space="preserve">Coalition </w:t>
      </w:r>
      <w:r w:rsidR="008E39E4" w:rsidRPr="00C56AA0">
        <w:rPr>
          <w:rStyle w:val="A3"/>
          <w:rFonts w:cs="Times New Roman"/>
          <w:b w:val="0"/>
          <w:sz w:val="24"/>
          <w:szCs w:val="24"/>
        </w:rPr>
        <w:t xml:space="preserve">Government </w:t>
      </w:r>
      <w:r w:rsidR="00C56AA0" w:rsidRPr="00C56AA0">
        <w:rPr>
          <w:rStyle w:val="A3"/>
          <w:rFonts w:cs="Times New Roman"/>
          <w:b w:val="0"/>
          <w:sz w:val="24"/>
          <w:szCs w:val="24"/>
        </w:rPr>
        <w:t>was elected on 18 September</w:t>
      </w:r>
      <w:r w:rsidR="00E34EEA" w:rsidRPr="00C56AA0">
        <w:rPr>
          <w:rStyle w:val="A3"/>
          <w:rFonts w:cs="Times New Roman"/>
          <w:b w:val="0"/>
          <w:sz w:val="24"/>
          <w:szCs w:val="24"/>
        </w:rPr>
        <w:t xml:space="preserve"> 2013. The Coalition had no higher education policy in Opposition and the new Minister for Education has recently reversed many of the pos</w:t>
      </w:r>
      <w:r w:rsidR="000D611C">
        <w:rPr>
          <w:rStyle w:val="A3"/>
          <w:rFonts w:cs="Times New Roman"/>
          <w:b w:val="0"/>
          <w:sz w:val="24"/>
          <w:szCs w:val="24"/>
        </w:rPr>
        <w:t xml:space="preserve">itions he </w:t>
      </w:r>
      <w:r w:rsidR="00D33F19">
        <w:rPr>
          <w:rStyle w:val="A3"/>
          <w:rFonts w:cs="Times New Roman"/>
          <w:b w:val="0"/>
          <w:sz w:val="24"/>
          <w:szCs w:val="24"/>
        </w:rPr>
        <w:t>stated</w:t>
      </w:r>
      <w:r w:rsidR="000D611C">
        <w:rPr>
          <w:rStyle w:val="A3"/>
          <w:rFonts w:cs="Times New Roman"/>
          <w:b w:val="0"/>
          <w:sz w:val="24"/>
          <w:szCs w:val="24"/>
        </w:rPr>
        <w:t xml:space="preserve"> in Opposition (Hare, 2014)</w:t>
      </w:r>
      <w:r w:rsidR="00E34EEA" w:rsidRPr="00C56AA0">
        <w:rPr>
          <w:rStyle w:val="A3"/>
          <w:rFonts w:cs="Times New Roman"/>
          <w:b w:val="0"/>
          <w:sz w:val="24"/>
          <w:szCs w:val="24"/>
        </w:rPr>
        <w:t>.</w:t>
      </w:r>
      <w:r w:rsidR="00AF561F">
        <w:rPr>
          <w:rStyle w:val="A3"/>
          <w:rFonts w:cs="Times New Roman"/>
          <w:b w:val="0"/>
          <w:sz w:val="24"/>
          <w:szCs w:val="24"/>
        </w:rPr>
        <w:t xml:space="preserve"> The Coalition launched a review of the removal of enrolment caps on bachelor places at public universities (Pyne, 2013) and reportedly the review team has submitted its report to government, but this is not the occasion to add to the speculation on the review’s recommendations and the Government’s likely response.</w:t>
      </w:r>
    </w:p>
    <w:p w14:paraId="704C2B1F" w14:textId="77777777" w:rsidR="00AF561F" w:rsidRPr="00AF561F" w:rsidRDefault="00AF561F" w:rsidP="00AF561F">
      <w:pPr>
        <w:rPr>
          <w:rStyle w:val="Hyperlink"/>
          <w:bCs/>
          <w:color w:val="000000" w:themeColor="text1"/>
          <w:u w:val="none"/>
          <w:lang w:eastAsia="en-AU"/>
        </w:rPr>
      </w:pPr>
    </w:p>
    <w:p w14:paraId="433CD867" w14:textId="3CFDD69E" w:rsidR="007064A0" w:rsidRPr="007064A0" w:rsidRDefault="00AF561F" w:rsidP="007064A0">
      <w:pPr>
        <w:rPr>
          <w:rStyle w:val="Hyperlink"/>
          <w:bCs/>
          <w:color w:val="000000" w:themeColor="text1"/>
          <w:u w:val="none"/>
          <w:lang w:eastAsia="en-AU"/>
        </w:rPr>
      </w:pPr>
      <w:r>
        <w:rPr>
          <w:rStyle w:val="Hyperlink"/>
          <w:bCs/>
          <w:color w:val="000000" w:themeColor="text1"/>
          <w:u w:val="none"/>
          <w:lang w:eastAsia="en-AU"/>
        </w:rPr>
        <w:t>However, extrapolating from current setting</w:t>
      </w:r>
      <w:r w:rsidR="00791026">
        <w:rPr>
          <w:rStyle w:val="Hyperlink"/>
          <w:bCs/>
          <w:color w:val="000000" w:themeColor="text1"/>
          <w:u w:val="none"/>
          <w:lang w:eastAsia="en-AU"/>
        </w:rPr>
        <w:t xml:space="preserve">s which seem likely to continue, the federal Department of Education will probably continue to monitor public universities’ performance through institutional performance portfolios which review each university’s finances, enrolments, teaching performance and research. The new Government is also likely to continue and may strengthen </w:t>
      </w:r>
      <w:r w:rsidR="007064A0">
        <w:rPr>
          <w:rStyle w:val="Hyperlink"/>
          <w:bCs/>
          <w:color w:val="000000" w:themeColor="text1"/>
          <w:u w:val="none"/>
          <w:lang w:eastAsia="en-AU"/>
        </w:rPr>
        <w:t>‘mission based compacts’ which were introduced in 2011 to ‘</w:t>
      </w:r>
      <w:r w:rsidR="007064A0" w:rsidRPr="007064A0">
        <w:rPr>
          <w:rStyle w:val="Hyperlink"/>
          <w:bCs/>
          <w:color w:val="000000" w:themeColor="text1"/>
          <w:u w:val="none"/>
          <w:lang w:eastAsia="en-AU"/>
        </w:rPr>
        <w:t>provide a framework for universities to pursue their distinctive missions and strategic goals while contributing to the Australian Government's national objectives for higher education, research, research training and innovation’ (Department of Innovation, Industry, Science, Research and Tertiary Education, 2011).</w:t>
      </w:r>
      <w:r w:rsidR="00F254EB">
        <w:rPr>
          <w:rStyle w:val="Hyperlink"/>
          <w:bCs/>
          <w:color w:val="000000" w:themeColor="text1"/>
          <w:u w:val="none"/>
          <w:lang w:eastAsia="en-AU"/>
        </w:rPr>
        <w:t xml:space="preserve"> Compacts have thus far not shaped universities’ developments as some would wish, largely because such government planning is inconsistent with the higher education market the government has constructed.</w:t>
      </w:r>
    </w:p>
    <w:p w14:paraId="7F65B209" w14:textId="77777777" w:rsidR="005C0FED" w:rsidRPr="007064A0" w:rsidRDefault="005C0FED" w:rsidP="007064A0">
      <w:pPr>
        <w:rPr>
          <w:rStyle w:val="Hyperlink"/>
          <w:color w:val="000000" w:themeColor="text1"/>
          <w:u w:val="none"/>
          <w:lang w:eastAsia="en-AU"/>
        </w:rPr>
      </w:pPr>
    </w:p>
    <w:p w14:paraId="66731D87" w14:textId="16498CF2" w:rsidR="00305983" w:rsidRPr="00305983" w:rsidRDefault="00305983" w:rsidP="00305983">
      <w:pPr>
        <w:pStyle w:val="Heading1"/>
        <w:spacing w:before="0" w:after="0"/>
        <w:rPr>
          <w:rFonts w:ascii="Times New Roman" w:hAnsi="Times New Roman" w:cs="Times New Roman"/>
          <w:sz w:val="24"/>
          <w:szCs w:val="24"/>
        </w:rPr>
      </w:pPr>
      <w:r w:rsidRPr="00305983">
        <w:rPr>
          <w:rFonts w:ascii="Times New Roman" w:hAnsi="Times New Roman" w:cs="Times New Roman"/>
          <w:sz w:val="24"/>
          <w:szCs w:val="24"/>
        </w:rPr>
        <w:t>Financing</w:t>
      </w:r>
    </w:p>
    <w:p w14:paraId="5594A3ED" w14:textId="77777777" w:rsidR="00305983" w:rsidRDefault="00305983" w:rsidP="00305983">
      <w:pPr>
        <w:pStyle w:val="Default"/>
        <w:rPr>
          <w:rStyle w:val="A3"/>
          <w:rFonts w:ascii="Times New Roman" w:hAnsi="Times New Roman" w:cs="Times New Roman"/>
          <w:b w:val="0"/>
          <w:sz w:val="24"/>
          <w:szCs w:val="24"/>
        </w:rPr>
      </w:pPr>
    </w:p>
    <w:p w14:paraId="2DAD7575" w14:textId="3C215417" w:rsidR="00EB1771" w:rsidRDefault="00EB1771" w:rsidP="00305983">
      <w:pPr>
        <w:pStyle w:val="Default"/>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Next the paper considers the </w:t>
      </w:r>
      <w:r w:rsidR="00652E95">
        <w:rPr>
          <w:rStyle w:val="A3"/>
          <w:rFonts w:ascii="Times New Roman" w:hAnsi="Times New Roman" w:cs="Times New Roman"/>
          <w:b w:val="0"/>
          <w:sz w:val="24"/>
          <w:szCs w:val="24"/>
        </w:rPr>
        <w:t xml:space="preserve">jurisdictions’ </w:t>
      </w:r>
      <w:r>
        <w:rPr>
          <w:rStyle w:val="A3"/>
          <w:rFonts w:ascii="Times New Roman" w:hAnsi="Times New Roman" w:cs="Times New Roman"/>
          <w:b w:val="0"/>
          <w:sz w:val="24"/>
          <w:szCs w:val="24"/>
        </w:rPr>
        <w:t>financing of higher education teaching-learning.</w:t>
      </w:r>
    </w:p>
    <w:p w14:paraId="4261A6C5" w14:textId="77777777" w:rsidR="00305983" w:rsidRDefault="00305983" w:rsidP="00305983">
      <w:pPr>
        <w:pStyle w:val="Default"/>
        <w:rPr>
          <w:rStyle w:val="A3"/>
          <w:rFonts w:ascii="Times New Roman" w:hAnsi="Times New Roman" w:cs="Times New Roman"/>
          <w:b w:val="0"/>
          <w:sz w:val="24"/>
          <w:szCs w:val="24"/>
        </w:rPr>
      </w:pPr>
    </w:p>
    <w:p w14:paraId="3747AE15" w14:textId="77777777" w:rsidR="00305983" w:rsidRPr="009F0EC3" w:rsidRDefault="00305983" w:rsidP="00305983">
      <w:pPr>
        <w:pStyle w:val="Heading2"/>
        <w:spacing w:before="0"/>
        <w:rPr>
          <w:rStyle w:val="A3"/>
          <w:rFonts w:ascii="Times New Roman" w:hAnsi="Times New Roman" w:cs="Times New Roman"/>
          <w:i/>
          <w:iCs/>
          <w:sz w:val="24"/>
          <w:szCs w:val="24"/>
        </w:rPr>
      </w:pPr>
      <w:r w:rsidRPr="009F0EC3">
        <w:rPr>
          <w:rStyle w:val="A3"/>
          <w:rFonts w:ascii="Times New Roman" w:hAnsi="Times New Roman" w:cs="Times New Roman"/>
          <w:i/>
          <w:iCs/>
          <w:sz w:val="24"/>
          <w:szCs w:val="24"/>
        </w:rPr>
        <w:t>Ontario</w:t>
      </w:r>
    </w:p>
    <w:p w14:paraId="53EE1F4A" w14:textId="77777777" w:rsidR="00305983" w:rsidRPr="00EF6D24" w:rsidRDefault="00305983" w:rsidP="00EF6D24">
      <w:pPr>
        <w:rPr>
          <w:rStyle w:val="A3"/>
          <w:rFonts w:cs="Times New Roman"/>
          <w:b w:val="0"/>
          <w:sz w:val="24"/>
          <w:szCs w:val="24"/>
        </w:rPr>
      </w:pPr>
    </w:p>
    <w:p w14:paraId="4808748C" w14:textId="43BC7C52" w:rsidR="00077427" w:rsidRPr="00C46FCD" w:rsidRDefault="00FC7798" w:rsidP="00EF6D24">
      <w:pPr>
        <w:rPr>
          <w:rStyle w:val="A3"/>
          <w:rFonts w:cs="Times New Roman"/>
          <w:b w:val="0"/>
          <w:sz w:val="24"/>
          <w:szCs w:val="24"/>
        </w:rPr>
      </w:pPr>
      <w:r w:rsidRPr="00EF6D24">
        <w:rPr>
          <w:rStyle w:val="A3"/>
          <w:rFonts w:cs="Times New Roman"/>
          <w:b w:val="0"/>
          <w:sz w:val="24"/>
          <w:szCs w:val="24"/>
        </w:rPr>
        <w:t xml:space="preserve">There are, broadly, 3 sources of funds for higher education enrolments in Ontario. </w:t>
      </w:r>
      <w:r w:rsidR="00B81730">
        <w:rPr>
          <w:rStyle w:val="A3"/>
          <w:rFonts w:cs="Times New Roman"/>
          <w:b w:val="0"/>
          <w:sz w:val="24"/>
          <w:szCs w:val="24"/>
        </w:rPr>
        <w:t xml:space="preserve">About 47% of colleges and universities’ operating revenues are </w:t>
      </w:r>
      <w:r w:rsidR="001B2C1B">
        <w:rPr>
          <w:rStyle w:val="A3"/>
          <w:rFonts w:cs="Times New Roman"/>
          <w:b w:val="0"/>
          <w:sz w:val="24"/>
          <w:szCs w:val="24"/>
        </w:rPr>
        <w:t xml:space="preserve">from general operating grants from the Ontario Government </w:t>
      </w:r>
      <w:r w:rsidR="00B81730">
        <w:rPr>
          <w:rStyle w:val="A3"/>
          <w:rFonts w:cs="Times New Roman"/>
          <w:b w:val="0"/>
          <w:sz w:val="24"/>
          <w:szCs w:val="24"/>
        </w:rPr>
        <w:t>allocated by a c</w:t>
      </w:r>
      <w:r w:rsidR="006C5C85" w:rsidRPr="00882F13">
        <w:rPr>
          <w:rStyle w:val="A3"/>
          <w:rFonts w:cs="Times New Roman"/>
          <w:b w:val="0"/>
          <w:sz w:val="24"/>
          <w:szCs w:val="24"/>
        </w:rPr>
        <w:t>ommon formula</w:t>
      </w:r>
      <w:r w:rsidR="00A33944" w:rsidRPr="00882F13">
        <w:rPr>
          <w:rStyle w:val="A3"/>
          <w:rFonts w:cs="Times New Roman"/>
          <w:b w:val="0"/>
          <w:sz w:val="24"/>
          <w:szCs w:val="24"/>
        </w:rPr>
        <w:t xml:space="preserve"> based </w:t>
      </w:r>
      <w:r w:rsidR="0034634E">
        <w:rPr>
          <w:rStyle w:val="A3"/>
          <w:rFonts w:cs="Times New Roman"/>
          <w:b w:val="0"/>
          <w:sz w:val="24"/>
          <w:szCs w:val="24"/>
        </w:rPr>
        <w:t xml:space="preserve">on </w:t>
      </w:r>
      <w:r w:rsidR="00B81730" w:rsidRPr="00882F13">
        <w:rPr>
          <w:rStyle w:val="A3"/>
          <w:rFonts w:cs="Times New Roman"/>
          <w:b w:val="0"/>
          <w:sz w:val="24"/>
          <w:szCs w:val="24"/>
        </w:rPr>
        <w:t xml:space="preserve">program mix </w:t>
      </w:r>
      <w:r w:rsidR="00B81730">
        <w:rPr>
          <w:rStyle w:val="A3"/>
          <w:rFonts w:cs="Times New Roman"/>
          <w:b w:val="0"/>
          <w:sz w:val="24"/>
          <w:szCs w:val="24"/>
        </w:rPr>
        <w:t>and a</w:t>
      </w:r>
      <w:r w:rsidR="00A33944" w:rsidRPr="00882F13">
        <w:rPr>
          <w:rStyle w:val="A3"/>
          <w:rFonts w:cs="Times New Roman"/>
          <w:b w:val="0"/>
          <w:sz w:val="24"/>
          <w:szCs w:val="24"/>
        </w:rPr>
        <w:t xml:space="preserve"> </w:t>
      </w:r>
      <w:r w:rsidR="00532759" w:rsidRPr="00882F13">
        <w:rPr>
          <w:rStyle w:val="A3"/>
          <w:rFonts w:cs="Times New Roman"/>
          <w:b w:val="0"/>
          <w:sz w:val="24"/>
          <w:szCs w:val="24"/>
        </w:rPr>
        <w:t xml:space="preserve">rolling average </w:t>
      </w:r>
      <w:r w:rsidR="00B81730">
        <w:rPr>
          <w:rStyle w:val="A3"/>
          <w:rFonts w:cs="Times New Roman"/>
          <w:b w:val="0"/>
          <w:sz w:val="24"/>
          <w:szCs w:val="24"/>
        </w:rPr>
        <w:t xml:space="preserve">enrolment </w:t>
      </w:r>
      <w:r w:rsidR="00A33944" w:rsidRPr="00882F13">
        <w:rPr>
          <w:rStyle w:val="A3"/>
          <w:rFonts w:cs="Times New Roman"/>
          <w:b w:val="0"/>
          <w:sz w:val="24"/>
          <w:szCs w:val="24"/>
        </w:rPr>
        <w:t xml:space="preserve">within bands or an ‘enrolment corridor’ </w:t>
      </w:r>
      <w:r w:rsidR="00B81730">
        <w:rPr>
          <w:rStyle w:val="A3"/>
          <w:rFonts w:cs="Times New Roman"/>
          <w:b w:val="0"/>
          <w:sz w:val="24"/>
          <w:szCs w:val="24"/>
        </w:rPr>
        <w:t>(Drummond, 2012; Jones, 2013:</w:t>
      </w:r>
      <w:r w:rsidR="00A33944" w:rsidRPr="00882F13">
        <w:rPr>
          <w:rStyle w:val="A3"/>
          <w:rFonts w:cs="Times New Roman"/>
          <w:b w:val="0"/>
          <w:sz w:val="24"/>
          <w:szCs w:val="24"/>
        </w:rPr>
        <w:t xml:space="preserve"> 106-7</w:t>
      </w:r>
      <w:r w:rsidR="00B81730">
        <w:rPr>
          <w:rStyle w:val="A3"/>
          <w:rFonts w:cs="Times New Roman"/>
          <w:b w:val="0"/>
          <w:sz w:val="24"/>
          <w:szCs w:val="24"/>
        </w:rPr>
        <w:t xml:space="preserve">). </w:t>
      </w:r>
      <w:r w:rsidR="0034634E">
        <w:rPr>
          <w:rStyle w:val="A3"/>
          <w:rFonts w:cs="Times New Roman"/>
          <w:b w:val="0"/>
          <w:sz w:val="24"/>
          <w:szCs w:val="24"/>
        </w:rPr>
        <w:t>About 16% of institutions’</w:t>
      </w:r>
      <w:r w:rsidR="0034634E" w:rsidRPr="0034634E">
        <w:rPr>
          <w:rStyle w:val="A3"/>
          <w:rFonts w:cs="Times New Roman"/>
          <w:b w:val="0"/>
          <w:sz w:val="24"/>
          <w:szCs w:val="24"/>
        </w:rPr>
        <w:t xml:space="preserve"> </w:t>
      </w:r>
      <w:r w:rsidR="0034634E">
        <w:rPr>
          <w:rStyle w:val="A3"/>
          <w:rFonts w:cs="Times New Roman"/>
          <w:b w:val="0"/>
          <w:sz w:val="24"/>
          <w:szCs w:val="24"/>
        </w:rPr>
        <w:t xml:space="preserve">revenue is from research grants, interest from endowments and ancillary fees. </w:t>
      </w:r>
      <w:r w:rsidR="00B81730" w:rsidRPr="00C46FCD">
        <w:rPr>
          <w:rStyle w:val="A3"/>
          <w:rFonts w:cs="Times New Roman"/>
          <w:b w:val="0"/>
          <w:sz w:val="24"/>
          <w:szCs w:val="24"/>
        </w:rPr>
        <w:t>About 37% of total institutional operating revenue is from tuition fees (</w:t>
      </w:r>
      <w:r w:rsidR="0034634E" w:rsidRPr="00C46FCD">
        <w:rPr>
          <w:rStyle w:val="A3"/>
          <w:rFonts w:cs="Times New Roman"/>
          <w:b w:val="0"/>
          <w:sz w:val="24"/>
          <w:szCs w:val="24"/>
        </w:rPr>
        <w:t xml:space="preserve">Drummond, 2012). Average university tuition fees are approaching </w:t>
      </w:r>
      <w:r w:rsidR="00D3593E" w:rsidRPr="00C46FCD">
        <w:rPr>
          <w:rStyle w:val="A3"/>
          <w:rFonts w:cs="Times New Roman"/>
          <w:b w:val="0"/>
          <w:sz w:val="24"/>
          <w:szCs w:val="24"/>
        </w:rPr>
        <w:t>$7,000 per annum (£3,815, 6,386 USD, 7,922 AUD)</w:t>
      </w:r>
      <w:r w:rsidR="00C46FCD" w:rsidRPr="00C46FCD">
        <w:rPr>
          <w:rStyle w:val="A3"/>
          <w:rFonts w:cs="Times New Roman"/>
          <w:b w:val="0"/>
          <w:sz w:val="24"/>
          <w:szCs w:val="24"/>
        </w:rPr>
        <w:t xml:space="preserve">. College fees are somewhat lower. </w:t>
      </w:r>
      <w:r w:rsidR="002B30AA">
        <w:rPr>
          <w:rStyle w:val="A3"/>
          <w:rFonts w:cs="Times New Roman"/>
          <w:b w:val="0"/>
          <w:sz w:val="24"/>
          <w:szCs w:val="24"/>
        </w:rPr>
        <w:t>Trick (2013: 31) estimates the</w:t>
      </w:r>
      <w:r w:rsidR="00C46FCD" w:rsidRPr="00C46FCD">
        <w:rPr>
          <w:rStyle w:val="A3"/>
          <w:rFonts w:cs="Times New Roman"/>
          <w:b w:val="0"/>
          <w:sz w:val="24"/>
          <w:szCs w:val="24"/>
        </w:rPr>
        <w:t xml:space="preserve"> share of provincial operating grants and tuition </w:t>
      </w:r>
      <w:r w:rsidR="00C46FCD">
        <w:rPr>
          <w:rStyle w:val="A3"/>
          <w:rFonts w:cs="Times New Roman"/>
          <w:b w:val="0"/>
          <w:sz w:val="24"/>
          <w:szCs w:val="24"/>
        </w:rPr>
        <w:t>for business programs</w:t>
      </w:r>
      <w:r w:rsidR="002B30AA">
        <w:rPr>
          <w:rStyle w:val="A3"/>
          <w:rFonts w:cs="Times New Roman"/>
          <w:b w:val="0"/>
          <w:sz w:val="24"/>
          <w:szCs w:val="24"/>
        </w:rPr>
        <w:t xml:space="preserve"> from Ministry data and institutions’ web sites (</w:t>
      </w:r>
      <w:r w:rsidR="002B30AA">
        <w:rPr>
          <w:rStyle w:val="A3"/>
          <w:rFonts w:cs="Times New Roman"/>
          <w:b w:val="0"/>
          <w:sz w:val="24"/>
          <w:szCs w:val="24"/>
        </w:rPr>
        <w:fldChar w:fldCharType="begin"/>
      </w:r>
      <w:r w:rsidR="002B30AA">
        <w:rPr>
          <w:rStyle w:val="A3"/>
          <w:rFonts w:cs="Times New Roman"/>
          <w:b w:val="0"/>
          <w:sz w:val="24"/>
          <w:szCs w:val="24"/>
        </w:rPr>
        <w:instrText xml:space="preserve"> REF _Ref255726597 \h </w:instrText>
      </w:r>
      <w:r w:rsidR="002B30AA">
        <w:rPr>
          <w:rStyle w:val="A3"/>
          <w:rFonts w:cs="Times New Roman"/>
          <w:b w:val="0"/>
          <w:sz w:val="24"/>
          <w:szCs w:val="24"/>
        </w:rPr>
      </w:r>
      <w:r w:rsidR="002B30AA">
        <w:rPr>
          <w:rStyle w:val="A3"/>
          <w:rFonts w:cs="Times New Roman"/>
          <w:b w:val="0"/>
          <w:sz w:val="24"/>
          <w:szCs w:val="24"/>
        </w:rPr>
        <w:fldChar w:fldCharType="separate"/>
      </w:r>
      <w:r w:rsidR="00B83978" w:rsidRPr="006825A3">
        <w:t xml:space="preserve">Table </w:t>
      </w:r>
      <w:r w:rsidR="00B83978">
        <w:rPr>
          <w:b/>
          <w:noProof/>
        </w:rPr>
        <w:t>2</w:t>
      </w:r>
      <w:r w:rsidR="002B30AA">
        <w:rPr>
          <w:rStyle w:val="A3"/>
          <w:rFonts w:cs="Times New Roman"/>
          <w:b w:val="0"/>
          <w:sz w:val="24"/>
          <w:szCs w:val="24"/>
        </w:rPr>
        <w:fldChar w:fldCharType="end"/>
      </w:r>
      <w:r w:rsidR="002B30AA">
        <w:rPr>
          <w:rStyle w:val="A3"/>
          <w:rFonts w:cs="Times New Roman"/>
          <w:b w:val="0"/>
          <w:sz w:val="24"/>
          <w:szCs w:val="24"/>
        </w:rPr>
        <w:t>).</w:t>
      </w:r>
    </w:p>
    <w:p w14:paraId="138758E0" w14:textId="77777777" w:rsidR="0034634E" w:rsidRPr="006825A3" w:rsidRDefault="0034634E" w:rsidP="0034634E">
      <w:pPr>
        <w:pStyle w:val="Caption"/>
        <w:jc w:val="center"/>
        <w:rPr>
          <w:rStyle w:val="A3"/>
          <w:rFonts w:cs="Times New Roman"/>
          <w:b/>
          <w:sz w:val="24"/>
          <w:szCs w:val="24"/>
        </w:rPr>
      </w:pPr>
      <w:bookmarkStart w:id="1" w:name="_Ref255726597"/>
      <w:r w:rsidRPr="006825A3">
        <w:rPr>
          <w:b w:val="0"/>
          <w:sz w:val="24"/>
          <w:szCs w:val="24"/>
        </w:rPr>
        <w:t xml:space="preserve">Table </w:t>
      </w:r>
      <w:r w:rsidRPr="006825A3">
        <w:rPr>
          <w:b w:val="0"/>
          <w:sz w:val="24"/>
          <w:szCs w:val="24"/>
        </w:rPr>
        <w:fldChar w:fldCharType="begin"/>
      </w:r>
      <w:r w:rsidRPr="006825A3">
        <w:rPr>
          <w:b w:val="0"/>
          <w:sz w:val="24"/>
          <w:szCs w:val="24"/>
        </w:rPr>
        <w:instrText xml:space="preserve"> SEQ Table \* ARABIC </w:instrText>
      </w:r>
      <w:r w:rsidRPr="006825A3">
        <w:rPr>
          <w:b w:val="0"/>
          <w:sz w:val="24"/>
          <w:szCs w:val="24"/>
        </w:rPr>
        <w:fldChar w:fldCharType="separate"/>
      </w:r>
      <w:r w:rsidR="00B83978">
        <w:rPr>
          <w:b w:val="0"/>
          <w:noProof/>
          <w:sz w:val="24"/>
          <w:szCs w:val="24"/>
        </w:rPr>
        <w:t>2</w:t>
      </w:r>
      <w:r w:rsidRPr="006825A3">
        <w:rPr>
          <w:b w:val="0"/>
          <w:sz w:val="24"/>
          <w:szCs w:val="24"/>
        </w:rPr>
        <w:fldChar w:fldCharType="end"/>
      </w:r>
      <w:bookmarkEnd w:id="1"/>
      <w:r w:rsidRPr="006825A3">
        <w:rPr>
          <w:b w:val="0"/>
          <w:sz w:val="24"/>
          <w:szCs w:val="24"/>
        </w:rPr>
        <w:t xml:space="preserve">: average </w:t>
      </w:r>
      <w:r>
        <w:rPr>
          <w:b w:val="0"/>
          <w:sz w:val="24"/>
          <w:szCs w:val="24"/>
        </w:rPr>
        <w:t>funding of business programs per year</w:t>
      </w:r>
    </w:p>
    <w:p w14:paraId="4A69538E" w14:textId="77777777" w:rsidR="0034634E" w:rsidRPr="006825A3" w:rsidRDefault="0034634E" w:rsidP="0034634E">
      <w:pPr>
        <w:pStyle w:val="Default"/>
        <w:rPr>
          <w:rStyle w:val="A3"/>
          <w:rFonts w:ascii="Times New Roman" w:hAnsi="Times New Roman" w:cs="Times New Roman"/>
          <w:b w:val="0"/>
          <w:sz w:val="24"/>
          <w:szCs w:val="24"/>
        </w:rPr>
      </w:pPr>
    </w:p>
    <w:tbl>
      <w:tblPr>
        <w:tblW w:w="6500" w:type="dxa"/>
        <w:jc w:val="center"/>
        <w:tblLayout w:type="fixed"/>
        <w:tblLook w:val="04A0" w:firstRow="1" w:lastRow="0" w:firstColumn="1" w:lastColumn="0" w:noHBand="0" w:noVBand="1"/>
      </w:tblPr>
      <w:tblGrid>
        <w:gridCol w:w="1289"/>
        <w:gridCol w:w="1261"/>
        <w:gridCol w:w="1293"/>
        <w:gridCol w:w="1559"/>
        <w:gridCol w:w="1098"/>
      </w:tblGrid>
      <w:tr w:rsidR="0034634E" w:rsidRPr="00A86FAD" w14:paraId="70AE9379" w14:textId="77777777" w:rsidTr="0034634E">
        <w:trPr>
          <w:trHeight w:val="320"/>
          <w:jc w:val="center"/>
        </w:trPr>
        <w:tc>
          <w:tcPr>
            <w:tcW w:w="1289" w:type="dxa"/>
            <w:vMerge w:val="restart"/>
            <w:tcBorders>
              <w:top w:val="single" w:sz="12" w:space="0" w:color="auto"/>
            </w:tcBorders>
            <w:shd w:val="clear" w:color="auto" w:fill="auto"/>
            <w:vAlign w:val="center"/>
            <w:hideMark/>
          </w:tcPr>
          <w:p w14:paraId="45B741AE" w14:textId="77777777" w:rsidR="0034634E" w:rsidRPr="00A86FAD" w:rsidRDefault="0034634E" w:rsidP="0034634E">
            <w:pPr>
              <w:pStyle w:val="Default"/>
              <w:rPr>
                <w:rStyle w:val="A3"/>
                <w:rFonts w:ascii="Times New Roman" w:hAnsi="Times New Roman" w:cs="Times New Roman"/>
                <w:sz w:val="24"/>
                <w:szCs w:val="24"/>
              </w:rPr>
            </w:pPr>
            <w:r w:rsidRPr="00A86FAD">
              <w:rPr>
                <w:rStyle w:val="A3"/>
                <w:rFonts w:ascii="Times New Roman" w:hAnsi="Times New Roman" w:cs="Times New Roman"/>
                <w:sz w:val="24"/>
                <w:szCs w:val="24"/>
              </w:rPr>
              <w:t> </w:t>
            </w:r>
          </w:p>
        </w:tc>
        <w:tc>
          <w:tcPr>
            <w:tcW w:w="2554" w:type="dxa"/>
            <w:gridSpan w:val="2"/>
            <w:tcBorders>
              <w:top w:val="single" w:sz="12" w:space="0" w:color="auto"/>
              <w:bottom w:val="single" w:sz="8" w:space="0" w:color="auto"/>
            </w:tcBorders>
            <w:shd w:val="clear" w:color="auto" w:fill="auto"/>
            <w:vAlign w:val="center"/>
            <w:hideMark/>
          </w:tcPr>
          <w:p w14:paraId="225F9AE9" w14:textId="77777777" w:rsidR="0034634E" w:rsidRPr="00A86FAD" w:rsidRDefault="0034634E" w:rsidP="0034634E">
            <w:pPr>
              <w:pStyle w:val="Default"/>
              <w:jc w:val="center"/>
              <w:rPr>
                <w:rStyle w:val="A3"/>
                <w:rFonts w:ascii="Times New Roman" w:hAnsi="Times New Roman" w:cs="Times New Roman"/>
                <w:sz w:val="24"/>
                <w:szCs w:val="24"/>
              </w:rPr>
            </w:pPr>
            <w:r w:rsidRPr="00A86FAD">
              <w:rPr>
                <w:rStyle w:val="A3"/>
                <w:rFonts w:ascii="Times New Roman" w:hAnsi="Times New Roman" w:cs="Times New Roman"/>
                <w:sz w:val="24"/>
                <w:szCs w:val="24"/>
              </w:rPr>
              <w:t>Tuition</w:t>
            </w:r>
          </w:p>
        </w:tc>
        <w:tc>
          <w:tcPr>
            <w:tcW w:w="1559" w:type="dxa"/>
            <w:tcBorders>
              <w:top w:val="single" w:sz="12" w:space="0" w:color="auto"/>
              <w:bottom w:val="single" w:sz="8" w:space="0" w:color="auto"/>
            </w:tcBorders>
            <w:shd w:val="clear" w:color="auto" w:fill="auto"/>
            <w:vAlign w:val="center"/>
            <w:hideMark/>
          </w:tcPr>
          <w:p w14:paraId="48C6A94C" w14:textId="77777777" w:rsidR="0034634E" w:rsidRPr="00A86FAD" w:rsidRDefault="0034634E" w:rsidP="0034634E">
            <w:pPr>
              <w:pStyle w:val="Default"/>
              <w:rPr>
                <w:rStyle w:val="A3"/>
                <w:rFonts w:ascii="Times New Roman" w:hAnsi="Times New Roman" w:cs="Times New Roman"/>
                <w:sz w:val="24"/>
                <w:szCs w:val="24"/>
              </w:rPr>
            </w:pPr>
            <w:r w:rsidRPr="00A86FAD">
              <w:rPr>
                <w:rStyle w:val="A3"/>
                <w:rFonts w:ascii="Times New Roman" w:hAnsi="Times New Roman" w:cs="Times New Roman"/>
                <w:sz w:val="24"/>
                <w:szCs w:val="24"/>
              </w:rPr>
              <w:t>Government</w:t>
            </w:r>
          </w:p>
        </w:tc>
        <w:tc>
          <w:tcPr>
            <w:tcW w:w="1098" w:type="dxa"/>
            <w:tcBorders>
              <w:top w:val="single" w:sz="12" w:space="0" w:color="auto"/>
              <w:bottom w:val="single" w:sz="8" w:space="0" w:color="auto"/>
            </w:tcBorders>
            <w:shd w:val="clear" w:color="auto" w:fill="auto"/>
            <w:vAlign w:val="center"/>
            <w:hideMark/>
          </w:tcPr>
          <w:p w14:paraId="08599B7C" w14:textId="77777777" w:rsidR="0034634E" w:rsidRPr="00A86FAD" w:rsidRDefault="0034634E" w:rsidP="0034634E">
            <w:pPr>
              <w:pStyle w:val="Default"/>
              <w:jc w:val="right"/>
              <w:rPr>
                <w:rStyle w:val="A3"/>
                <w:rFonts w:ascii="Times New Roman" w:hAnsi="Times New Roman" w:cs="Times New Roman"/>
                <w:sz w:val="24"/>
                <w:szCs w:val="24"/>
              </w:rPr>
            </w:pPr>
            <w:r w:rsidRPr="00A86FAD">
              <w:rPr>
                <w:rStyle w:val="A3"/>
                <w:rFonts w:ascii="Times New Roman" w:hAnsi="Times New Roman" w:cs="Times New Roman"/>
                <w:sz w:val="24"/>
                <w:szCs w:val="24"/>
              </w:rPr>
              <w:t>Total</w:t>
            </w:r>
          </w:p>
        </w:tc>
      </w:tr>
      <w:tr w:rsidR="0034634E" w:rsidRPr="00A86FAD" w14:paraId="15867C32" w14:textId="77777777" w:rsidTr="0034634E">
        <w:trPr>
          <w:trHeight w:val="320"/>
          <w:jc w:val="center"/>
        </w:trPr>
        <w:tc>
          <w:tcPr>
            <w:tcW w:w="1289" w:type="dxa"/>
            <w:vMerge/>
            <w:tcBorders>
              <w:bottom w:val="single" w:sz="8" w:space="0" w:color="auto"/>
            </w:tcBorders>
            <w:shd w:val="clear" w:color="auto" w:fill="auto"/>
            <w:vAlign w:val="center"/>
          </w:tcPr>
          <w:p w14:paraId="745C8855" w14:textId="77777777" w:rsidR="0034634E" w:rsidRPr="00A86FAD" w:rsidRDefault="0034634E" w:rsidP="0034634E">
            <w:pPr>
              <w:pStyle w:val="Default"/>
              <w:rPr>
                <w:rStyle w:val="A3"/>
                <w:rFonts w:ascii="Times New Roman" w:hAnsi="Times New Roman" w:cs="Times New Roman"/>
                <w:sz w:val="24"/>
                <w:szCs w:val="24"/>
              </w:rPr>
            </w:pPr>
          </w:p>
        </w:tc>
        <w:tc>
          <w:tcPr>
            <w:tcW w:w="1261" w:type="dxa"/>
            <w:tcBorders>
              <w:top w:val="single" w:sz="8" w:space="0" w:color="auto"/>
              <w:bottom w:val="single" w:sz="8" w:space="0" w:color="auto"/>
            </w:tcBorders>
            <w:shd w:val="clear" w:color="auto" w:fill="auto"/>
            <w:vAlign w:val="center"/>
          </w:tcPr>
          <w:p w14:paraId="1CE71CFE" w14:textId="77777777" w:rsidR="0034634E" w:rsidRPr="00A86FAD" w:rsidRDefault="0034634E" w:rsidP="0034634E">
            <w:pPr>
              <w:pStyle w:val="Default"/>
              <w:jc w:val="right"/>
              <w:rPr>
                <w:rStyle w:val="A3"/>
                <w:rFonts w:ascii="Times New Roman" w:hAnsi="Times New Roman" w:cs="Times New Roman"/>
                <w:sz w:val="24"/>
                <w:szCs w:val="24"/>
              </w:rPr>
            </w:pPr>
            <w:r w:rsidRPr="00A86FAD">
              <w:rPr>
                <w:rStyle w:val="A3"/>
                <w:rFonts w:ascii="Times New Roman" w:hAnsi="Times New Roman" w:cs="Times New Roman"/>
                <w:sz w:val="24"/>
                <w:szCs w:val="24"/>
              </w:rPr>
              <w:t>Amount</w:t>
            </w:r>
          </w:p>
        </w:tc>
        <w:tc>
          <w:tcPr>
            <w:tcW w:w="1293" w:type="dxa"/>
            <w:tcBorders>
              <w:top w:val="single" w:sz="8" w:space="0" w:color="auto"/>
              <w:bottom w:val="single" w:sz="8" w:space="0" w:color="auto"/>
            </w:tcBorders>
            <w:shd w:val="clear" w:color="auto" w:fill="auto"/>
            <w:vAlign w:val="center"/>
          </w:tcPr>
          <w:p w14:paraId="694FF657" w14:textId="77777777" w:rsidR="0034634E" w:rsidRPr="00A86FAD" w:rsidRDefault="0034634E" w:rsidP="0034634E">
            <w:pPr>
              <w:pStyle w:val="Default"/>
              <w:jc w:val="right"/>
              <w:rPr>
                <w:rStyle w:val="A3"/>
                <w:rFonts w:ascii="Times New Roman" w:hAnsi="Times New Roman" w:cs="Times New Roman"/>
                <w:sz w:val="24"/>
                <w:szCs w:val="24"/>
              </w:rPr>
            </w:pPr>
            <w:r w:rsidRPr="00A86FAD">
              <w:rPr>
                <w:rStyle w:val="A3"/>
                <w:rFonts w:ascii="Times New Roman" w:hAnsi="Times New Roman" w:cs="Times New Roman"/>
                <w:sz w:val="24"/>
                <w:szCs w:val="24"/>
              </w:rPr>
              <w:t>% of total</w:t>
            </w:r>
          </w:p>
        </w:tc>
        <w:tc>
          <w:tcPr>
            <w:tcW w:w="1559" w:type="dxa"/>
            <w:tcBorders>
              <w:top w:val="single" w:sz="8" w:space="0" w:color="auto"/>
              <w:bottom w:val="single" w:sz="8" w:space="0" w:color="auto"/>
            </w:tcBorders>
            <w:shd w:val="clear" w:color="auto" w:fill="auto"/>
            <w:vAlign w:val="center"/>
          </w:tcPr>
          <w:p w14:paraId="3BAA5F0B" w14:textId="77777777" w:rsidR="0034634E" w:rsidRPr="00A86FAD" w:rsidRDefault="0034634E" w:rsidP="0034634E">
            <w:pPr>
              <w:pStyle w:val="Default"/>
              <w:rPr>
                <w:rStyle w:val="A3"/>
                <w:rFonts w:ascii="Times New Roman" w:hAnsi="Times New Roman" w:cs="Times New Roman"/>
                <w:sz w:val="24"/>
                <w:szCs w:val="24"/>
              </w:rPr>
            </w:pPr>
          </w:p>
        </w:tc>
        <w:tc>
          <w:tcPr>
            <w:tcW w:w="1098" w:type="dxa"/>
            <w:tcBorders>
              <w:top w:val="single" w:sz="8" w:space="0" w:color="auto"/>
              <w:bottom w:val="single" w:sz="8" w:space="0" w:color="auto"/>
            </w:tcBorders>
            <w:shd w:val="clear" w:color="auto" w:fill="auto"/>
            <w:vAlign w:val="center"/>
          </w:tcPr>
          <w:p w14:paraId="120CF101" w14:textId="77777777" w:rsidR="0034634E" w:rsidRPr="00A86FAD" w:rsidRDefault="0034634E" w:rsidP="0034634E">
            <w:pPr>
              <w:pStyle w:val="Default"/>
              <w:rPr>
                <w:rStyle w:val="A3"/>
                <w:rFonts w:ascii="Times New Roman" w:hAnsi="Times New Roman" w:cs="Times New Roman"/>
                <w:sz w:val="24"/>
                <w:szCs w:val="24"/>
              </w:rPr>
            </w:pPr>
          </w:p>
        </w:tc>
      </w:tr>
      <w:tr w:rsidR="0034634E" w:rsidRPr="00A86FAD" w14:paraId="414EAF43" w14:textId="77777777" w:rsidTr="0034634E">
        <w:trPr>
          <w:trHeight w:val="320"/>
          <w:jc w:val="center"/>
        </w:trPr>
        <w:tc>
          <w:tcPr>
            <w:tcW w:w="1289" w:type="dxa"/>
            <w:tcBorders>
              <w:top w:val="nil"/>
              <w:bottom w:val="single" w:sz="8" w:space="0" w:color="auto"/>
            </w:tcBorders>
            <w:shd w:val="clear" w:color="auto" w:fill="auto"/>
            <w:vAlign w:val="center"/>
            <w:hideMark/>
          </w:tcPr>
          <w:p w14:paraId="635752EB" w14:textId="77777777" w:rsidR="0034634E" w:rsidRPr="00A86FAD" w:rsidRDefault="0034634E" w:rsidP="0034634E">
            <w:pPr>
              <w:pStyle w:val="Default"/>
              <w:rPr>
                <w:rStyle w:val="A3"/>
                <w:rFonts w:ascii="Times New Roman" w:hAnsi="Times New Roman" w:cs="Times New Roman"/>
                <w:b w:val="0"/>
                <w:sz w:val="24"/>
                <w:szCs w:val="24"/>
              </w:rPr>
            </w:pPr>
            <w:r w:rsidRPr="00A86FAD">
              <w:rPr>
                <w:rStyle w:val="A3"/>
                <w:rFonts w:ascii="Times New Roman" w:hAnsi="Times New Roman" w:cs="Times New Roman"/>
                <w:b w:val="0"/>
                <w:sz w:val="24"/>
                <w:szCs w:val="24"/>
              </w:rPr>
              <w:t>College</w:t>
            </w:r>
          </w:p>
        </w:tc>
        <w:tc>
          <w:tcPr>
            <w:tcW w:w="1261" w:type="dxa"/>
            <w:tcBorders>
              <w:top w:val="nil"/>
              <w:bottom w:val="single" w:sz="8" w:space="0" w:color="auto"/>
            </w:tcBorders>
            <w:shd w:val="clear" w:color="auto" w:fill="auto"/>
            <w:vAlign w:val="center"/>
            <w:hideMark/>
          </w:tcPr>
          <w:p w14:paraId="2814E986" w14:textId="77777777" w:rsidR="0034634E" w:rsidRPr="00A86FAD" w:rsidRDefault="0034634E" w:rsidP="0034634E">
            <w:pPr>
              <w:pStyle w:val="Default"/>
              <w:jc w:val="right"/>
              <w:rPr>
                <w:rStyle w:val="A3"/>
                <w:rFonts w:ascii="Times New Roman" w:hAnsi="Times New Roman" w:cs="Times New Roman"/>
                <w:b w:val="0"/>
                <w:sz w:val="24"/>
                <w:szCs w:val="24"/>
              </w:rPr>
            </w:pPr>
            <w:r w:rsidRPr="00A86FAD">
              <w:rPr>
                <w:rStyle w:val="A3"/>
                <w:rFonts w:ascii="Times New Roman" w:hAnsi="Times New Roman" w:cs="Times New Roman"/>
                <w:b w:val="0"/>
                <w:sz w:val="24"/>
                <w:szCs w:val="24"/>
              </w:rPr>
              <w:t>3,300</w:t>
            </w:r>
          </w:p>
        </w:tc>
        <w:tc>
          <w:tcPr>
            <w:tcW w:w="1293" w:type="dxa"/>
            <w:tcBorders>
              <w:top w:val="nil"/>
              <w:bottom w:val="single" w:sz="8" w:space="0" w:color="auto"/>
            </w:tcBorders>
            <w:shd w:val="clear" w:color="auto" w:fill="auto"/>
            <w:vAlign w:val="center"/>
            <w:hideMark/>
          </w:tcPr>
          <w:p w14:paraId="454F7F96" w14:textId="77777777" w:rsidR="0034634E" w:rsidRPr="00A86FAD" w:rsidRDefault="0034634E" w:rsidP="0034634E">
            <w:pPr>
              <w:pStyle w:val="Default"/>
              <w:jc w:val="right"/>
              <w:rPr>
                <w:rStyle w:val="A3"/>
                <w:rFonts w:ascii="Times New Roman" w:hAnsi="Times New Roman" w:cs="Times New Roman"/>
                <w:b w:val="0"/>
                <w:sz w:val="24"/>
                <w:szCs w:val="24"/>
              </w:rPr>
            </w:pPr>
            <w:r w:rsidRPr="00A86FAD">
              <w:rPr>
                <w:rStyle w:val="A3"/>
                <w:rFonts w:ascii="Times New Roman" w:hAnsi="Times New Roman" w:cs="Times New Roman"/>
                <w:b w:val="0"/>
                <w:sz w:val="24"/>
                <w:szCs w:val="24"/>
              </w:rPr>
              <w:t>43</w:t>
            </w:r>
          </w:p>
        </w:tc>
        <w:tc>
          <w:tcPr>
            <w:tcW w:w="1559" w:type="dxa"/>
            <w:tcBorders>
              <w:top w:val="nil"/>
              <w:bottom w:val="single" w:sz="8" w:space="0" w:color="auto"/>
            </w:tcBorders>
            <w:shd w:val="clear" w:color="auto" w:fill="auto"/>
            <w:vAlign w:val="center"/>
            <w:hideMark/>
          </w:tcPr>
          <w:p w14:paraId="15DE8964" w14:textId="77777777" w:rsidR="0034634E" w:rsidRPr="00A86FAD" w:rsidRDefault="0034634E" w:rsidP="0034634E">
            <w:pPr>
              <w:pStyle w:val="Default"/>
              <w:jc w:val="right"/>
              <w:rPr>
                <w:rStyle w:val="A3"/>
                <w:rFonts w:ascii="Times New Roman" w:hAnsi="Times New Roman" w:cs="Times New Roman"/>
                <w:b w:val="0"/>
                <w:sz w:val="24"/>
                <w:szCs w:val="24"/>
              </w:rPr>
            </w:pPr>
            <w:r w:rsidRPr="00A86FAD">
              <w:rPr>
                <w:rStyle w:val="A3"/>
                <w:rFonts w:ascii="Times New Roman" w:hAnsi="Times New Roman" w:cs="Times New Roman"/>
                <w:b w:val="0"/>
                <w:sz w:val="24"/>
                <w:szCs w:val="24"/>
              </w:rPr>
              <w:t>4,400</w:t>
            </w:r>
          </w:p>
        </w:tc>
        <w:tc>
          <w:tcPr>
            <w:tcW w:w="1098" w:type="dxa"/>
            <w:tcBorders>
              <w:top w:val="nil"/>
              <w:bottom w:val="single" w:sz="8" w:space="0" w:color="auto"/>
            </w:tcBorders>
            <w:shd w:val="clear" w:color="auto" w:fill="auto"/>
            <w:vAlign w:val="center"/>
            <w:hideMark/>
          </w:tcPr>
          <w:p w14:paraId="15498A63" w14:textId="77777777" w:rsidR="0034634E" w:rsidRPr="00A86FAD" w:rsidRDefault="0034634E" w:rsidP="0034634E">
            <w:pPr>
              <w:pStyle w:val="Default"/>
              <w:jc w:val="right"/>
              <w:rPr>
                <w:rStyle w:val="A3"/>
                <w:rFonts w:ascii="Times New Roman" w:hAnsi="Times New Roman" w:cs="Times New Roman"/>
                <w:b w:val="0"/>
                <w:sz w:val="24"/>
                <w:szCs w:val="24"/>
              </w:rPr>
            </w:pPr>
            <w:r w:rsidRPr="00A86FAD">
              <w:rPr>
                <w:rStyle w:val="A3"/>
                <w:rFonts w:ascii="Times New Roman" w:hAnsi="Times New Roman" w:cs="Times New Roman"/>
                <w:b w:val="0"/>
                <w:sz w:val="24"/>
                <w:szCs w:val="24"/>
              </w:rPr>
              <w:t>7,700</w:t>
            </w:r>
          </w:p>
        </w:tc>
      </w:tr>
      <w:tr w:rsidR="0034634E" w:rsidRPr="00A86FAD" w14:paraId="5915DA97" w14:textId="77777777" w:rsidTr="0034634E">
        <w:trPr>
          <w:trHeight w:val="320"/>
          <w:jc w:val="center"/>
        </w:trPr>
        <w:tc>
          <w:tcPr>
            <w:tcW w:w="1289" w:type="dxa"/>
            <w:tcBorders>
              <w:top w:val="single" w:sz="8" w:space="0" w:color="auto"/>
              <w:bottom w:val="single" w:sz="12" w:space="0" w:color="auto"/>
            </w:tcBorders>
            <w:shd w:val="clear" w:color="auto" w:fill="auto"/>
            <w:vAlign w:val="center"/>
            <w:hideMark/>
          </w:tcPr>
          <w:p w14:paraId="02A67922" w14:textId="77777777" w:rsidR="0034634E" w:rsidRPr="00A86FAD" w:rsidRDefault="0034634E" w:rsidP="0034634E">
            <w:pPr>
              <w:pStyle w:val="Default"/>
              <w:rPr>
                <w:rStyle w:val="A3"/>
                <w:rFonts w:ascii="Times New Roman" w:hAnsi="Times New Roman" w:cs="Times New Roman"/>
                <w:b w:val="0"/>
                <w:sz w:val="24"/>
                <w:szCs w:val="24"/>
              </w:rPr>
            </w:pPr>
            <w:r w:rsidRPr="00A86FAD">
              <w:rPr>
                <w:rStyle w:val="A3"/>
                <w:rFonts w:ascii="Times New Roman" w:hAnsi="Times New Roman" w:cs="Times New Roman"/>
                <w:b w:val="0"/>
                <w:sz w:val="24"/>
                <w:szCs w:val="24"/>
              </w:rPr>
              <w:t>University</w:t>
            </w:r>
          </w:p>
        </w:tc>
        <w:tc>
          <w:tcPr>
            <w:tcW w:w="1261" w:type="dxa"/>
            <w:tcBorders>
              <w:top w:val="single" w:sz="8" w:space="0" w:color="auto"/>
              <w:bottom w:val="single" w:sz="12" w:space="0" w:color="auto"/>
            </w:tcBorders>
            <w:shd w:val="clear" w:color="auto" w:fill="auto"/>
            <w:vAlign w:val="center"/>
            <w:hideMark/>
          </w:tcPr>
          <w:p w14:paraId="4781AE05" w14:textId="77777777" w:rsidR="0034634E" w:rsidRPr="00A86FAD" w:rsidRDefault="0034634E" w:rsidP="0034634E">
            <w:pPr>
              <w:pStyle w:val="Default"/>
              <w:jc w:val="right"/>
              <w:rPr>
                <w:rStyle w:val="A3"/>
                <w:rFonts w:ascii="Times New Roman" w:hAnsi="Times New Roman" w:cs="Times New Roman"/>
                <w:b w:val="0"/>
                <w:sz w:val="24"/>
                <w:szCs w:val="24"/>
              </w:rPr>
            </w:pPr>
            <w:r w:rsidRPr="00A86FAD">
              <w:rPr>
                <w:rStyle w:val="A3"/>
                <w:rFonts w:ascii="Times New Roman" w:hAnsi="Times New Roman" w:cs="Times New Roman"/>
                <w:b w:val="0"/>
                <w:sz w:val="24"/>
                <w:szCs w:val="24"/>
              </w:rPr>
              <w:t>6,500</w:t>
            </w:r>
          </w:p>
        </w:tc>
        <w:tc>
          <w:tcPr>
            <w:tcW w:w="1293" w:type="dxa"/>
            <w:tcBorders>
              <w:top w:val="single" w:sz="8" w:space="0" w:color="auto"/>
              <w:bottom w:val="single" w:sz="12" w:space="0" w:color="auto"/>
            </w:tcBorders>
            <w:shd w:val="clear" w:color="auto" w:fill="auto"/>
            <w:vAlign w:val="center"/>
            <w:hideMark/>
          </w:tcPr>
          <w:p w14:paraId="54FDD726" w14:textId="77777777" w:rsidR="0034634E" w:rsidRPr="00A86FAD" w:rsidRDefault="0034634E" w:rsidP="0034634E">
            <w:pPr>
              <w:pStyle w:val="Default"/>
              <w:jc w:val="right"/>
              <w:rPr>
                <w:rStyle w:val="A3"/>
                <w:rFonts w:ascii="Times New Roman" w:hAnsi="Times New Roman" w:cs="Times New Roman"/>
                <w:b w:val="0"/>
                <w:sz w:val="24"/>
                <w:szCs w:val="24"/>
              </w:rPr>
            </w:pPr>
            <w:r w:rsidRPr="00A86FAD">
              <w:rPr>
                <w:rStyle w:val="A3"/>
                <w:rFonts w:ascii="Times New Roman" w:hAnsi="Times New Roman" w:cs="Times New Roman"/>
                <w:b w:val="0"/>
                <w:sz w:val="24"/>
                <w:szCs w:val="24"/>
              </w:rPr>
              <w:t>53</w:t>
            </w:r>
          </w:p>
        </w:tc>
        <w:tc>
          <w:tcPr>
            <w:tcW w:w="1559" w:type="dxa"/>
            <w:tcBorders>
              <w:top w:val="single" w:sz="8" w:space="0" w:color="auto"/>
              <w:bottom w:val="single" w:sz="12" w:space="0" w:color="auto"/>
            </w:tcBorders>
            <w:shd w:val="clear" w:color="auto" w:fill="auto"/>
            <w:vAlign w:val="center"/>
            <w:hideMark/>
          </w:tcPr>
          <w:p w14:paraId="2933BBC6" w14:textId="77777777" w:rsidR="0034634E" w:rsidRPr="00A86FAD" w:rsidRDefault="0034634E" w:rsidP="0034634E">
            <w:pPr>
              <w:pStyle w:val="Default"/>
              <w:jc w:val="right"/>
              <w:rPr>
                <w:rStyle w:val="A3"/>
                <w:rFonts w:ascii="Times New Roman" w:hAnsi="Times New Roman" w:cs="Times New Roman"/>
                <w:b w:val="0"/>
                <w:sz w:val="24"/>
                <w:szCs w:val="24"/>
              </w:rPr>
            </w:pPr>
            <w:r w:rsidRPr="00A86FAD">
              <w:rPr>
                <w:rStyle w:val="A3"/>
                <w:rFonts w:ascii="Times New Roman" w:hAnsi="Times New Roman" w:cs="Times New Roman"/>
                <w:b w:val="0"/>
                <w:sz w:val="24"/>
                <w:szCs w:val="24"/>
              </w:rPr>
              <w:t>5,800</w:t>
            </w:r>
          </w:p>
        </w:tc>
        <w:tc>
          <w:tcPr>
            <w:tcW w:w="1098" w:type="dxa"/>
            <w:tcBorders>
              <w:top w:val="single" w:sz="8" w:space="0" w:color="auto"/>
              <w:bottom w:val="single" w:sz="12" w:space="0" w:color="auto"/>
            </w:tcBorders>
            <w:shd w:val="clear" w:color="auto" w:fill="auto"/>
            <w:vAlign w:val="center"/>
            <w:hideMark/>
          </w:tcPr>
          <w:p w14:paraId="40B77525" w14:textId="77777777" w:rsidR="0034634E" w:rsidRPr="00A86FAD" w:rsidRDefault="0034634E" w:rsidP="0034634E">
            <w:pPr>
              <w:pStyle w:val="Default"/>
              <w:jc w:val="right"/>
              <w:rPr>
                <w:rStyle w:val="A3"/>
                <w:rFonts w:ascii="Times New Roman" w:hAnsi="Times New Roman" w:cs="Times New Roman"/>
                <w:b w:val="0"/>
                <w:sz w:val="24"/>
                <w:szCs w:val="24"/>
              </w:rPr>
            </w:pPr>
            <w:r w:rsidRPr="00A86FAD">
              <w:rPr>
                <w:rStyle w:val="A3"/>
                <w:rFonts w:ascii="Times New Roman" w:hAnsi="Times New Roman" w:cs="Times New Roman"/>
                <w:b w:val="0"/>
                <w:sz w:val="24"/>
                <w:szCs w:val="24"/>
              </w:rPr>
              <w:t>12,300</w:t>
            </w:r>
          </w:p>
        </w:tc>
      </w:tr>
    </w:tbl>
    <w:p w14:paraId="366FBE01" w14:textId="77777777" w:rsidR="0034634E" w:rsidRPr="006825A3" w:rsidRDefault="0034634E" w:rsidP="0034634E">
      <w:pPr>
        <w:pStyle w:val="Default"/>
        <w:rPr>
          <w:rStyle w:val="A3"/>
          <w:rFonts w:ascii="Times New Roman" w:hAnsi="Times New Roman" w:cs="Times New Roman"/>
          <w:b w:val="0"/>
          <w:sz w:val="24"/>
          <w:szCs w:val="24"/>
        </w:rPr>
      </w:pPr>
    </w:p>
    <w:p w14:paraId="77D8FC75" w14:textId="77777777" w:rsidR="0034634E" w:rsidRPr="006825A3" w:rsidRDefault="0034634E" w:rsidP="0034634E">
      <w:pPr>
        <w:pStyle w:val="Default"/>
        <w:rPr>
          <w:rStyle w:val="A3"/>
          <w:rFonts w:ascii="Times New Roman" w:hAnsi="Times New Roman" w:cs="Times New Roman"/>
          <w:b w:val="0"/>
          <w:sz w:val="24"/>
          <w:szCs w:val="24"/>
        </w:rPr>
      </w:pPr>
      <w:r w:rsidRPr="006825A3">
        <w:rPr>
          <w:rStyle w:val="A3"/>
          <w:rFonts w:ascii="Times New Roman" w:hAnsi="Times New Roman" w:cs="Times New Roman"/>
          <w:b w:val="0"/>
          <w:sz w:val="24"/>
          <w:szCs w:val="24"/>
        </w:rPr>
        <w:t>Source: Trick (2013: 31) Cost scenarios for college-to-university transfer programs in Ontario</w:t>
      </w:r>
    </w:p>
    <w:p w14:paraId="5A5A1B60" w14:textId="77777777" w:rsidR="0034634E" w:rsidRPr="006825A3" w:rsidRDefault="0034634E" w:rsidP="0034634E">
      <w:pPr>
        <w:pStyle w:val="Default"/>
        <w:rPr>
          <w:rStyle w:val="A3"/>
          <w:rFonts w:ascii="Times New Roman" w:hAnsi="Times New Roman" w:cs="Times New Roman"/>
          <w:b w:val="0"/>
          <w:sz w:val="24"/>
          <w:szCs w:val="24"/>
        </w:rPr>
      </w:pPr>
    </w:p>
    <w:p w14:paraId="2A023563" w14:textId="56BAEBD2" w:rsidR="007D129B" w:rsidRPr="00CC3AC9" w:rsidRDefault="001B2C1B" w:rsidP="00EF6D24">
      <w:pPr>
        <w:rPr>
          <w:rStyle w:val="A3"/>
          <w:rFonts w:cs="Times New Roman"/>
          <w:b w:val="0"/>
          <w:sz w:val="24"/>
          <w:szCs w:val="24"/>
        </w:rPr>
      </w:pPr>
      <w:r>
        <w:t>The Ontario Government froze tuition from 2004 to 2006, supplementing institutions’ grants to compensate for the foregone increase in revenue. Currently the Government allows institutions to increase tuition by an average of up to 5%. Many students’ tuition and living costs are supported</w:t>
      </w:r>
      <w:r w:rsidR="00FC7798" w:rsidRPr="00EF6D24">
        <w:rPr>
          <w:rStyle w:val="A3"/>
          <w:rFonts w:cs="Times New Roman"/>
          <w:b w:val="0"/>
          <w:sz w:val="24"/>
          <w:szCs w:val="24"/>
        </w:rPr>
        <w:t xml:space="preserve"> by grants </w:t>
      </w:r>
      <w:r w:rsidR="00A31D6B" w:rsidRPr="00EF6D24">
        <w:rPr>
          <w:rStyle w:val="A3"/>
          <w:rFonts w:cs="Times New Roman"/>
          <w:b w:val="0"/>
          <w:sz w:val="24"/>
          <w:szCs w:val="24"/>
        </w:rPr>
        <w:t>and/</w:t>
      </w:r>
      <w:r w:rsidR="00FC7798" w:rsidRPr="00EF6D24">
        <w:rPr>
          <w:rStyle w:val="A3"/>
          <w:rFonts w:cs="Times New Roman"/>
          <w:b w:val="0"/>
          <w:sz w:val="24"/>
          <w:szCs w:val="24"/>
        </w:rPr>
        <w:t xml:space="preserve">or loans from the provincial and federal governments. </w:t>
      </w:r>
      <w:r w:rsidR="00915623" w:rsidRPr="00EF6D24">
        <w:rPr>
          <w:rStyle w:val="A3"/>
          <w:rFonts w:cs="Times New Roman"/>
          <w:b w:val="0"/>
          <w:sz w:val="24"/>
          <w:szCs w:val="24"/>
        </w:rPr>
        <w:t xml:space="preserve">Provincial and federal student financial </w:t>
      </w:r>
      <w:r w:rsidR="00F3181F" w:rsidRPr="00EF6D24">
        <w:rPr>
          <w:rStyle w:val="A3"/>
          <w:rFonts w:cs="Times New Roman"/>
          <w:b w:val="0"/>
          <w:sz w:val="24"/>
          <w:szCs w:val="24"/>
        </w:rPr>
        <w:t xml:space="preserve">aid for tuition and living </w:t>
      </w:r>
      <w:r w:rsidR="00F3181F" w:rsidRPr="00CC3AC9">
        <w:rPr>
          <w:rStyle w:val="A3"/>
          <w:rFonts w:cs="Times New Roman"/>
          <w:b w:val="0"/>
          <w:sz w:val="24"/>
          <w:szCs w:val="24"/>
        </w:rPr>
        <w:t xml:space="preserve">expenses </w:t>
      </w:r>
      <w:r w:rsidR="00915623" w:rsidRPr="00CC3AC9">
        <w:rPr>
          <w:rStyle w:val="A3"/>
          <w:rFonts w:cs="Times New Roman"/>
          <w:b w:val="0"/>
          <w:sz w:val="24"/>
          <w:szCs w:val="24"/>
        </w:rPr>
        <w:t xml:space="preserve">are integrated in the </w:t>
      </w:r>
      <w:r w:rsidR="00F3181F" w:rsidRPr="00CC3AC9">
        <w:rPr>
          <w:rStyle w:val="A3"/>
          <w:rFonts w:cs="Times New Roman"/>
          <w:b w:val="0"/>
          <w:sz w:val="24"/>
          <w:szCs w:val="24"/>
        </w:rPr>
        <w:t>Ontario student assistance p</w:t>
      </w:r>
      <w:r w:rsidR="00915623" w:rsidRPr="00CC3AC9">
        <w:rPr>
          <w:rStyle w:val="A3"/>
          <w:rFonts w:cs="Times New Roman"/>
          <w:b w:val="0"/>
          <w:sz w:val="24"/>
          <w:szCs w:val="24"/>
        </w:rPr>
        <w:t>rogram</w:t>
      </w:r>
      <w:r w:rsidR="00F3181F" w:rsidRPr="00CC3AC9">
        <w:rPr>
          <w:rStyle w:val="A3"/>
          <w:rFonts w:cs="Times New Roman"/>
          <w:b w:val="0"/>
          <w:sz w:val="24"/>
          <w:szCs w:val="24"/>
        </w:rPr>
        <w:t xml:space="preserve">. </w:t>
      </w:r>
      <w:r w:rsidR="00915623" w:rsidRPr="00CC3AC9">
        <w:rPr>
          <w:rStyle w:val="A3"/>
          <w:rFonts w:cs="Times New Roman"/>
          <w:b w:val="0"/>
          <w:sz w:val="24"/>
          <w:szCs w:val="24"/>
        </w:rPr>
        <w:t xml:space="preserve">There are also </w:t>
      </w:r>
      <w:r w:rsidRPr="00CC3AC9">
        <w:rPr>
          <w:rStyle w:val="A3"/>
          <w:rFonts w:cs="Times New Roman"/>
          <w:b w:val="0"/>
          <w:sz w:val="24"/>
          <w:szCs w:val="24"/>
        </w:rPr>
        <w:t xml:space="preserve">Federal and provincial </w:t>
      </w:r>
      <w:r w:rsidR="00915623" w:rsidRPr="00CC3AC9">
        <w:rPr>
          <w:rStyle w:val="A3"/>
          <w:rFonts w:cs="Times New Roman"/>
          <w:b w:val="0"/>
          <w:sz w:val="24"/>
          <w:szCs w:val="24"/>
        </w:rPr>
        <w:t xml:space="preserve">education tax credits from </w:t>
      </w:r>
      <w:r w:rsidR="00F3181F" w:rsidRPr="00CC3AC9">
        <w:rPr>
          <w:rStyle w:val="A3"/>
          <w:rFonts w:cs="Times New Roman"/>
          <w:b w:val="0"/>
          <w:sz w:val="24"/>
          <w:szCs w:val="24"/>
        </w:rPr>
        <w:t xml:space="preserve">federal </w:t>
      </w:r>
      <w:r w:rsidR="00915623" w:rsidRPr="00CC3AC9">
        <w:rPr>
          <w:rStyle w:val="A3"/>
          <w:rFonts w:cs="Times New Roman"/>
          <w:b w:val="0"/>
          <w:sz w:val="24"/>
          <w:szCs w:val="24"/>
        </w:rPr>
        <w:t>registered education savings plans.</w:t>
      </w:r>
      <w:r w:rsidR="00F3181F" w:rsidRPr="00CC3AC9">
        <w:rPr>
          <w:rStyle w:val="A3"/>
          <w:rFonts w:cs="Times New Roman"/>
          <w:b w:val="0"/>
          <w:sz w:val="24"/>
          <w:szCs w:val="24"/>
        </w:rPr>
        <w:t xml:space="preserve"> </w:t>
      </w:r>
      <w:r w:rsidR="007D129B" w:rsidRPr="00CC3AC9">
        <w:rPr>
          <w:rStyle w:val="A3"/>
          <w:rFonts w:cs="Times New Roman"/>
          <w:b w:val="0"/>
          <w:sz w:val="24"/>
          <w:szCs w:val="24"/>
        </w:rPr>
        <w:t xml:space="preserve">The Ontario student access guarantee requires institutions to allocate 10% of additional tuition revenue to bursaries and other forms of student financial </w:t>
      </w:r>
      <w:r w:rsidR="00CC3AC9">
        <w:rPr>
          <w:rStyle w:val="A3"/>
          <w:rFonts w:cs="Times New Roman"/>
          <w:b w:val="0"/>
          <w:sz w:val="24"/>
          <w:szCs w:val="24"/>
        </w:rPr>
        <w:t>aid</w:t>
      </w:r>
      <w:r w:rsidR="00CC3AC9" w:rsidRPr="00CC3AC9">
        <w:rPr>
          <w:rStyle w:val="A3"/>
          <w:rFonts w:cs="Times New Roman"/>
          <w:b w:val="0"/>
          <w:sz w:val="24"/>
          <w:szCs w:val="24"/>
        </w:rPr>
        <w:t xml:space="preserve"> so that no Ontario student is prevented from attending Ontario’s public colleges and universities due to lack of financial support (Deller and Oldford, 2011: 7)</w:t>
      </w:r>
      <w:r w:rsidR="007D129B" w:rsidRPr="00CC3AC9">
        <w:rPr>
          <w:rStyle w:val="A3"/>
          <w:rFonts w:cs="Times New Roman"/>
          <w:b w:val="0"/>
          <w:sz w:val="24"/>
          <w:szCs w:val="24"/>
        </w:rPr>
        <w:t xml:space="preserve">. </w:t>
      </w:r>
      <w:r w:rsidR="00F3181F" w:rsidRPr="00CC3AC9">
        <w:rPr>
          <w:rStyle w:val="A3"/>
          <w:rFonts w:cs="Times New Roman"/>
          <w:b w:val="0"/>
          <w:sz w:val="24"/>
          <w:szCs w:val="24"/>
        </w:rPr>
        <w:t>The federal government offers student loan forgiveness for family doctors and nurses</w:t>
      </w:r>
      <w:r w:rsidR="00EF6D24" w:rsidRPr="00CC3AC9">
        <w:rPr>
          <w:rStyle w:val="A3"/>
          <w:rFonts w:cs="Times New Roman"/>
          <w:b w:val="0"/>
          <w:sz w:val="24"/>
          <w:szCs w:val="24"/>
        </w:rPr>
        <w:t xml:space="preserve"> who work in rural or remote communities. </w:t>
      </w:r>
    </w:p>
    <w:p w14:paraId="33F1EFF9" w14:textId="77777777" w:rsidR="007D129B" w:rsidRPr="00CC3AC9" w:rsidRDefault="007D129B" w:rsidP="00EF6D24">
      <w:pPr>
        <w:rPr>
          <w:rStyle w:val="A3"/>
          <w:rFonts w:cs="Times New Roman"/>
          <w:b w:val="0"/>
          <w:sz w:val="24"/>
          <w:szCs w:val="24"/>
        </w:rPr>
      </w:pPr>
    </w:p>
    <w:p w14:paraId="0FF195A3" w14:textId="5EB6A582" w:rsidR="00D1110F" w:rsidRPr="001D7A45" w:rsidRDefault="00A31D6B" w:rsidP="001D7A45">
      <w:pPr>
        <w:rPr>
          <w:rStyle w:val="A3"/>
          <w:rFonts w:cs="Times New Roman"/>
          <w:b w:val="0"/>
          <w:bCs w:val="0"/>
          <w:color w:val="auto"/>
          <w:sz w:val="24"/>
          <w:szCs w:val="24"/>
        </w:rPr>
      </w:pPr>
      <w:r w:rsidRPr="00A31D6B">
        <w:rPr>
          <w:rStyle w:val="A3"/>
          <w:rFonts w:cs="Times New Roman"/>
          <w:b w:val="0"/>
          <w:sz w:val="24"/>
          <w:szCs w:val="24"/>
        </w:rPr>
        <w:t xml:space="preserve">The Rae </w:t>
      </w:r>
      <w:r w:rsidR="00EF6D24">
        <w:rPr>
          <w:rStyle w:val="A3"/>
          <w:rFonts w:cs="Times New Roman"/>
          <w:b w:val="0"/>
          <w:sz w:val="24"/>
          <w:szCs w:val="24"/>
        </w:rPr>
        <w:t>(</w:t>
      </w:r>
      <w:r w:rsidR="00EF6D24" w:rsidRPr="00A31D6B">
        <w:rPr>
          <w:rStyle w:val="A3"/>
          <w:rFonts w:cs="Times New Roman"/>
          <w:b w:val="0"/>
          <w:sz w:val="24"/>
          <w:szCs w:val="24"/>
        </w:rPr>
        <w:t>2005: 79-81</w:t>
      </w:r>
      <w:r w:rsidR="00EF6D24">
        <w:rPr>
          <w:rStyle w:val="A3"/>
          <w:rFonts w:cs="Times New Roman"/>
          <w:b w:val="0"/>
          <w:sz w:val="24"/>
          <w:szCs w:val="24"/>
        </w:rPr>
        <w:t xml:space="preserve">) </w:t>
      </w:r>
      <w:r w:rsidRPr="00A31D6B">
        <w:rPr>
          <w:rStyle w:val="A3"/>
          <w:rFonts w:cs="Times New Roman"/>
          <w:b w:val="0"/>
          <w:sz w:val="24"/>
          <w:szCs w:val="24"/>
        </w:rPr>
        <w:t>report recommended</w:t>
      </w:r>
      <w:r w:rsidR="001D7A45">
        <w:rPr>
          <w:rStyle w:val="A3"/>
          <w:rFonts w:cs="Times New Roman"/>
          <w:b w:val="0"/>
          <w:sz w:val="24"/>
          <w:szCs w:val="24"/>
        </w:rPr>
        <w:t xml:space="preserve"> universal</w:t>
      </w:r>
      <w:r w:rsidRPr="00A31D6B">
        <w:rPr>
          <w:rStyle w:val="A3"/>
          <w:rFonts w:cs="Times New Roman"/>
          <w:b w:val="0"/>
          <w:sz w:val="24"/>
          <w:szCs w:val="24"/>
        </w:rPr>
        <w:t xml:space="preserve"> income con</w:t>
      </w:r>
      <w:r w:rsidR="00EF6D24">
        <w:rPr>
          <w:rStyle w:val="A3"/>
          <w:rFonts w:cs="Times New Roman"/>
          <w:b w:val="0"/>
          <w:sz w:val="24"/>
          <w:szCs w:val="24"/>
        </w:rPr>
        <w:t>tingent loans</w:t>
      </w:r>
      <w:r>
        <w:rPr>
          <w:rStyle w:val="A3"/>
          <w:rFonts w:cs="Times New Roman"/>
          <w:b w:val="0"/>
          <w:sz w:val="24"/>
          <w:szCs w:val="24"/>
        </w:rPr>
        <w:t xml:space="preserve"> but</w:t>
      </w:r>
      <w:r w:rsidR="00D1110F">
        <w:rPr>
          <w:rStyle w:val="A3"/>
          <w:rFonts w:cs="Times New Roman"/>
          <w:b w:val="0"/>
          <w:sz w:val="24"/>
          <w:szCs w:val="24"/>
        </w:rPr>
        <w:t xml:space="preserve"> as yet income contingent repayment is available only upon application by</w:t>
      </w:r>
      <w:r w:rsidR="00D1110F" w:rsidRPr="00D1110F">
        <w:rPr>
          <w:rStyle w:val="A3"/>
          <w:rFonts w:cs="Times New Roman"/>
          <w:b w:val="0"/>
          <w:sz w:val="24"/>
          <w:szCs w:val="24"/>
        </w:rPr>
        <w:t xml:space="preserve"> low income borrowers under the </w:t>
      </w:r>
      <w:r w:rsidR="00D1110F">
        <w:rPr>
          <w:rStyle w:val="A3"/>
          <w:rFonts w:cs="Times New Roman"/>
          <w:b w:val="0"/>
          <w:sz w:val="24"/>
          <w:szCs w:val="24"/>
        </w:rPr>
        <w:t>repayment assistance p</w:t>
      </w:r>
      <w:r w:rsidR="00D1110F" w:rsidRPr="00D1110F">
        <w:rPr>
          <w:rStyle w:val="A3"/>
          <w:rFonts w:cs="Times New Roman"/>
          <w:b w:val="0"/>
          <w:sz w:val="24"/>
          <w:szCs w:val="24"/>
        </w:rPr>
        <w:t>rogram</w:t>
      </w:r>
      <w:r w:rsidR="00D1110F">
        <w:rPr>
          <w:rStyle w:val="A3"/>
          <w:rFonts w:cs="Times New Roman"/>
          <w:b w:val="0"/>
          <w:sz w:val="24"/>
          <w:szCs w:val="24"/>
        </w:rPr>
        <w:t>.</w:t>
      </w:r>
      <w:r w:rsidR="00322463">
        <w:rPr>
          <w:rStyle w:val="A3"/>
          <w:rFonts w:cs="Times New Roman"/>
          <w:b w:val="0"/>
          <w:sz w:val="24"/>
          <w:szCs w:val="24"/>
        </w:rPr>
        <w:t xml:space="preserve"> </w:t>
      </w:r>
      <w:r w:rsidR="00322463">
        <w:t xml:space="preserve">Lochner, Stinebrickner and Suleymanoglu (2013: 19-21) found from data from the Canada student loans program that more than half of low income students continue with their loan repayments from </w:t>
      </w:r>
      <w:r w:rsidR="00322463" w:rsidRPr="00D1110F">
        <w:rPr>
          <w:rStyle w:val="A3"/>
          <w:rFonts w:cs="Times New Roman"/>
          <w:b w:val="0"/>
          <w:sz w:val="24"/>
          <w:szCs w:val="24"/>
        </w:rPr>
        <w:t>personal savings and family support</w:t>
      </w:r>
      <w:r w:rsidR="00322463">
        <w:rPr>
          <w:rStyle w:val="A3"/>
          <w:rFonts w:cs="Times New Roman"/>
          <w:b w:val="0"/>
          <w:sz w:val="24"/>
          <w:szCs w:val="24"/>
        </w:rPr>
        <w:t xml:space="preserve">. </w:t>
      </w:r>
      <w:r w:rsidR="00322463">
        <w:t>Making income contingent loan repayment universal would halve the amount of loans repaid by low income students without any commensurate increase in repayments by students</w:t>
      </w:r>
      <w:r w:rsidR="001D7A45">
        <w:t xml:space="preserve"> currently</w:t>
      </w:r>
      <w:r w:rsidR="00322463">
        <w:t xml:space="preserve"> in default, and would thus threaten</w:t>
      </w:r>
      <w:r w:rsidR="00322463" w:rsidRPr="00322463">
        <w:t xml:space="preserve"> the sustainability of</w:t>
      </w:r>
      <w:r w:rsidR="00322463">
        <w:t xml:space="preserve"> the </w:t>
      </w:r>
      <w:r w:rsidR="001D7A45">
        <w:t>Canada student loans program.</w:t>
      </w:r>
    </w:p>
    <w:p w14:paraId="22689A6C" w14:textId="119AB81A" w:rsidR="00305983" w:rsidRDefault="00305983" w:rsidP="001D7A45">
      <w:pPr>
        <w:rPr>
          <w:rStyle w:val="A3"/>
          <w:rFonts w:cs="Times New Roman"/>
          <w:b w:val="0"/>
          <w:sz w:val="24"/>
          <w:szCs w:val="24"/>
        </w:rPr>
      </w:pPr>
    </w:p>
    <w:p w14:paraId="21F8D816" w14:textId="77777777" w:rsidR="00305983" w:rsidRPr="00305983" w:rsidRDefault="00305983" w:rsidP="00305983">
      <w:pPr>
        <w:pStyle w:val="Heading2"/>
        <w:spacing w:before="0"/>
        <w:rPr>
          <w:rStyle w:val="A3"/>
          <w:rFonts w:ascii="Times New Roman" w:hAnsi="Times New Roman" w:cs="Times New Roman"/>
          <w:i/>
          <w:iCs/>
          <w:sz w:val="24"/>
          <w:szCs w:val="24"/>
        </w:rPr>
      </w:pPr>
      <w:r w:rsidRPr="00305983">
        <w:rPr>
          <w:rStyle w:val="A3"/>
          <w:rFonts w:ascii="Times New Roman" w:hAnsi="Times New Roman" w:cs="Times New Roman"/>
          <w:i/>
          <w:iCs/>
          <w:sz w:val="24"/>
          <w:szCs w:val="24"/>
        </w:rPr>
        <w:t>England</w:t>
      </w:r>
    </w:p>
    <w:p w14:paraId="628675F8" w14:textId="77777777" w:rsidR="00305983" w:rsidRDefault="00305983" w:rsidP="00305983">
      <w:pPr>
        <w:pStyle w:val="Default"/>
        <w:rPr>
          <w:rStyle w:val="A3"/>
          <w:rFonts w:ascii="Times New Roman" w:hAnsi="Times New Roman" w:cs="Times New Roman"/>
          <w:b w:val="0"/>
          <w:sz w:val="24"/>
          <w:szCs w:val="24"/>
        </w:rPr>
      </w:pPr>
    </w:p>
    <w:p w14:paraId="6CE0D006" w14:textId="7C689A7F" w:rsidR="0018728D" w:rsidRPr="00B603A1" w:rsidRDefault="007D7AD4" w:rsidP="0018728D">
      <w:pPr>
        <w:pStyle w:val="Default"/>
        <w:rPr>
          <w:rStyle w:val="A3"/>
          <w:rFonts w:ascii="Times New Roman" w:hAnsi="Times New Roman" w:cs="Times New Roman"/>
          <w:b w:val="0"/>
          <w:sz w:val="24"/>
          <w:szCs w:val="24"/>
        </w:rPr>
      </w:pPr>
      <w:r>
        <w:rPr>
          <w:rStyle w:val="A3"/>
          <w:rFonts w:ascii="Times New Roman" w:hAnsi="Times New Roman" w:cs="Times New Roman"/>
          <w:b w:val="0"/>
          <w:i/>
          <w:sz w:val="24"/>
          <w:szCs w:val="24"/>
        </w:rPr>
        <w:t>S</w:t>
      </w:r>
      <w:r w:rsidRPr="00992608">
        <w:rPr>
          <w:rStyle w:val="A3"/>
          <w:rFonts w:ascii="Times New Roman" w:hAnsi="Times New Roman" w:cs="Times New Roman"/>
          <w:b w:val="0"/>
          <w:i/>
          <w:sz w:val="24"/>
          <w:szCs w:val="24"/>
        </w:rPr>
        <w:t>tudents at the heart of the system</w:t>
      </w:r>
      <w:r w:rsidRPr="00992608">
        <w:rPr>
          <w:rStyle w:val="A3"/>
          <w:rFonts w:ascii="Times New Roman" w:hAnsi="Times New Roman" w:cs="Times New Roman"/>
          <w:b w:val="0"/>
          <w:sz w:val="24"/>
          <w:szCs w:val="24"/>
        </w:rPr>
        <w:t xml:space="preserve"> (Department for Business Innova</w:t>
      </w:r>
      <w:r>
        <w:rPr>
          <w:rStyle w:val="A3"/>
          <w:rFonts w:ascii="Times New Roman" w:hAnsi="Times New Roman" w:cs="Times New Roman"/>
          <w:b w:val="0"/>
          <w:sz w:val="24"/>
          <w:szCs w:val="24"/>
        </w:rPr>
        <w:t>tion and Skills, 2011)</w:t>
      </w:r>
      <w:r w:rsidR="0018728D" w:rsidRPr="00AD31D5">
        <w:rPr>
          <w:rStyle w:val="A3"/>
          <w:rFonts w:ascii="Times New Roman" w:hAnsi="Times New Roman" w:cs="Times New Roman"/>
          <w:b w:val="0"/>
          <w:sz w:val="24"/>
          <w:szCs w:val="24"/>
        </w:rPr>
        <w:t xml:space="preserve"> just about tripled maximum fees </w:t>
      </w:r>
      <w:r>
        <w:rPr>
          <w:rStyle w:val="A3"/>
          <w:rFonts w:ascii="Times New Roman" w:hAnsi="Times New Roman" w:cs="Times New Roman"/>
          <w:b w:val="0"/>
          <w:sz w:val="24"/>
          <w:szCs w:val="24"/>
        </w:rPr>
        <w:t xml:space="preserve">at English universities </w:t>
      </w:r>
      <w:r w:rsidR="0018728D" w:rsidRPr="00AD31D5">
        <w:rPr>
          <w:rStyle w:val="A3"/>
          <w:rFonts w:ascii="Times New Roman" w:hAnsi="Times New Roman" w:cs="Times New Roman"/>
          <w:b w:val="0"/>
          <w:sz w:val="24"/>
          <w:szCs w:val="24"/>
        </w:rPr>
        <w:t xml:space="preserve">to £9,000 (16,590 CAD, 15,048 USD, 16,630 AUD) and removed grants to institutions for most subjects. However, subsidies were retained for medicine, experimental sciences, engineering and other so called ‘strategically important and vulnerable subjects’: </w:t>
      </w:r>
      <w:hyperlink r:id="rId13" w:history="1">
        <w:r w:rsidR="0018728D" w:rsidRPr="00AD31D5">
          <w:rPr>
            <w:rStyle w:val="A3"/>
            <w:rFonts w:ascii="Times New Roman" w:hAnsi="Times New Roman" w:cs="Times New Roman"/>
            <w:b w:val="0"/>
            <w:sz w:val="24"/>
            <w:szCs w:val="24"/>
          </w:rPr>
          <w:t>modern foreign languages</w:t>
        </w:r>
      </w:hyperlink>
      <w:r w:rsidR="0018728D" w:rsidRPr="00AD31D5">
        <w:rPr>
          <w:rStyle w:val="A3"/>
          <w:rFonts w:ascii="Times New Roman" w:hAnsi="Times New Roman" w:cs="Times New Roman"/>
          <w:b w:val="0"/>
          <w:sz w:val="24"/>
          <w:szCs w:val="24"/>
        </w:rPr>
        <w:t xml:space="preserve"> and </w:t>
      </w:r>
      <w:hyperlink r:id="rId14" w:history="1">
        <w:r w:rsidR="0018728D" w:rsidRPr="00AD31D5">
          <w:rPr>
            <w:rStyle w:val="A3"/>
            <w:rFonts w:ascii="Times New Roman" w:hAnsi="Times New Roman" w:cs="Times New Roman"/>
            <w:b w:val="0"/>
            <w:sz w:val="24"/>
            <w:szCs w:val="24"/>
          </w:rPr>
          <w:t>quantitative social science</w:t>
        </w:r>
      </w:hyperlink>
      <w:r w:rsidR="0018728D" w:rsidRPr="00AD31D5">
        <w:rPr>
          <w:rStyle w:val="A3"/>
          <w:rFonts w:ascii="Times New Roman" w:hAnsi="Times New Roman" w:cs="Times New Roman"/>
          <w:b w:val="0"/>
          <w:sz w:val="24"/>
          <w:szCs w:val="24"/>
        </w:rPr>
        <w:t>.</w:t>
      </w:r>
      <w:r w:rsidR="0018728D">
        <w:rPr>
          <w:rStyle w:val="A3"/>
          <w:rFonts w:ascii="Times New Roman" w:hAnsi="Times New Roman" w:cs="Times New Roman"/>
          <w:b w:val="0"/>
          <w:sz w:val="24"/>
          <w:szCs w:val="24"/>
        </w:rPr>
        <w:t xml:space="preserve"> </w:t>
      </w:r>
      <w:r w:rsidR="00C6297A">
        <w:rPr>
          <w:rStyle w:val="A3"/>
          <w:rFonts w:ascii="Times New Roman" w:hAnsi="Times New Roman" w:cs="Times New Roman"/>
          <w:b w:val="0"/>
          <w:sz w:val="24"/>
          <w:szCs w:val="24"/>
        </w:rPr>
        <w:t xml:space="preserve">Nonetheless, most universities charge the maximum or close to the maximum fee for most subjects. </w:t>
      </w:r>
      <w:r w:rsidR="0018728D" w:rsidRPr="00AD31D5">
        <w:rPr>
          <w:rStyle w:val="A3"/>
          <w:rFonts w:ascii="Times New Roman" w:hAnsi="Times New Roman" w:cs="Times New Roman"/>
          <w:b w:val="0"/>
          <w:sz w:val="24"/>
          <w:szCs w:val="24"/>
        </w:rPr>
        <w:t xml:space="preserve">The UK government introduced universal income contingent loans for tuition fees for students undertaking their first baccalaureate, following their successful introduction in Australia in 1989, and extended loans to living costs, thus making </w:t>
      </w:r>
      <w:r w:rsidR="0018728D" w:rsidRPr="00B603A1">
        <w:rPr>
          <w:rStyle w:val="A3"/>
          <w:rFonts w:ascii="Times New Roman" w:hAnsi="Times New Roman" w:cs="Times New Roman"/>
          <w:b w:val="0"/>
          <w:sz w:val="24"/>
          <w:szCs w:val="24"/>
        </w:rPr>
        <w:t xml:space="preserve">the loan scheme much more expensive than Australia’s. The government also increased grants for living costs for students who satisfied a means test. </w:t>
      </w:r>
      <w:r w:rsidR="00D91744" w:rsidRPr="00B603A1">
        <w:rPr>
          <w:rStyle w:val="A3"/>
          <w:rFonts w:ascii="Times New Roman" w:hAnsi="Times New Roman" w:cs="Times New Roman"/>
          <w:b w:val="0"/>
          <w:sz w:val="24"/>
          <w:szCs w:val="24"/>
        </w:rPr>
        <w:t xml:space="preserve">Income contingent loans are not available for second and subsequent degrees, thus considerably inhibiting people retraining or upgrading their qualifications. Several analysts have doubted that </w:t>
      </w:r>
      <w:r w:rsidR="00B603A1" w:rsidRPr="00B603A1">
        <w:rPr>
          <w:rStyle w:val="A3"/>
          <w:rFonts w:ascii="Times New Roman" w:hAnsi="Times New Roman" w:cs="Times New Roman"/>
          <w:b w:val="0"/>
          <w:sz w:val="24"/>
          <w:szCs w:val="24"/>
        </w:rPr>
        <w:t xml:space="preserve">the Government’s current financing of higher education is sustainable (Thompson and Bekhradnia, 2012 </w:t>
      </w:r>
      <w:r w:rsidR="00B603A1">
        <w:rPr>
          <w:rStyle w:val="A3"/>
          <w:rFonts w:ascii="Times New Roman" w:hAnsi="Times New Roman" w:cs="Times New Roman"/>
          <w:b w:val="0"/>
          <w:sz w:val="24"/>
          <w:szCs w:val="24"/>
        </w:rPr>
        <w:t xml:space="preserve">and 2013; Brown, 2013; Hackett, </w:t>
      </w:r>
      <w:r w:rsidR="00B603A1" w:rsidRPr="00B603A1">
        <w:rPr>
          <w:rStyle w:val="A3"/>
          <w:rFonts w:ascii="Times New Roman" w:hAnsi="Times New Roman" w:cs="Times New Roman"/>
          <w:b w:val="0"/>
          <w:sz w:val="24"/>
          <w:szCs w:val="24"/>
        </w:rPr>
        <w:t>forthcoming)</w:t>
      </w:r>
      <w:r w:rsidR="00B603A1">
        <w:rPr>
          <w:rStyle w:val="A3"/>
          <w:rFonts w:ascii="Times New Roman" w:hAnsi="Times New Roman" w:cs="Times New Roman"/>
          <w:b w:val="0"/>
          <w:sz w:val="24"/>
          <w:szCs w:val="24"/>
        </w:rPr>
        <w:t>, largely because loan repayment conditions are so generous that much</w:t>
      </w:r>
      <w:r w:rsidR="00106B55">
        <w:rPr>
          <w:rStyle w:val="A3"/>
          <w:rFonts w:ascii="Times New Roman" w:hAnsi="Times New Roman" w:cs="Times New Roman"/>
          <w:b w:val="0"/>
          <w:sz w:val="24"/>
          <w:szCs w:val="24"/>
        </w:rPr>
        <w:t xml:space="preserve"> of the debt</w:t>
      </w:r>
      <w:r w:rsidR="00B603A1">
        <w:rPr>
          <w:rStyle w:val="A3"/>
          <w:rFonts w:ascii="Times New Roman" w:hAnsi="Times New Roman" w:cs="Times New Roman"/>
          <w:b w:val="0"/>
          <w:sz w:val="24"/>
          <w:szCs w:val="24"/>
        </w:rPr>
        <w:t xml:space="preserve"> isn’t collected (Hackett, </w:t>
      </w:r>
      <w:r w:rsidR="00B603A1" w:rsidRPr="00B603A1">
        <w:rPr>
          <w:rStyle w:val="A3"/>
          <w:rFonts w:ascii="Times New Roman" w:hAnsi="Times New Roman" w:cs="Times New Roman"/>
          <w:b w:val="0"/>
          <w:sz w:val="24"/>
          <w:szCs w:val="24"/>
        </w:rPr>
        <w:t>forthcoming)</w:t>
      </w:r>
      <w:r w:rsidR="00B603A1">
        <w:rPr>
          <w:rStyle w:val="A3"/>
          <w:rFonts w:ascii="Times New Roman" w:hAnsi="Times New Roman" w:cs="Times New Roman"/>
          <w:b w:val="0"/>
          <w:sz w:val="24"/>
          <w:szCs w:val="24"/>
        </w:rPr>
        <w:t>.</w:t>
      </w:r>
    </w:p>
    <w:p w14:paraId="5B688ADA" w14:textId="77777777" w:rsidR="00305983" w:rsidRDefault="00305983" w:rsidP="00305983">
      <w:pPr>
        <w:pStyle w:val="Default"/>
        <w:rPr>
          <w:rStyle w:val="A3"/>
          <w:rFonts w:ascii="Times New Roman" w:hAnsi="Times New Roman" w:cs="Times New Roman"/>
          <w:b w:val="0"/>
          <w:sz w:val="24"/>
          <w:szCs w:val="24"/>
        </w:rPr>
      </w:pPr>
    </w:p>
    <w:p w14:paraId="54A3AC47" w14:textId="77777777" w:rsidR="00305983" w:rsidRPr="00305983" w:rsidRDefault="00305983" w:rsidP="00305983">
      <w:pPr>
        <w:pStyle w:val="Heading2"/>
        <w:spacing w:before="0"/>
        <w:rPr>
          <w:rStyle w:val="A3"/>
          <w:rFonts w:ascii="Times New Roman" w:hAnsi="Times New Roman" w:cs="Times New Roman"/>
          <w:i/>
          <w:iCs/>
          <w:sz w:val="24"/>
          <w:szCs w:val="24"/>
        </w:rPr>
      </w:pPr>
      <w:r w:rsidRPr="00305983">
        <w:rPr>
          <w:rStyle w:val="A3"/>
          <w:rFonts w:ascii="Times New Roman" w:hAnsi="Times New Roman" w:cs="Times New Roman"/>
          <w:i/>
          <w:iCs/>
          <w:sz w:val="24"/>
          <w:szCs w:val="24"/>
        </w:rPr>
        <w:t>Australia</w:t>
      </w:r>
    </w:p>
    <w:p w14:paraId="26150CE4" w14:textId="77777777" w:rsidR="00305983" w:rsidRDefault="00305983" w:rsidP="00305983">
      <w:pPr>
        <w:pStyle w:val="Default"/>
        <w:rPr>
          <w:rStyle w:val="A3"/>
          <w:rFonts w:ascii="Times New Roman" w:hAnsi="Times New Roman" w:cs="Times New Roman"/>
          <w:b w:val="0"/>
          <w:sz w:val="24"/>
          <w:szCs w:val="24"/>
        </w:rPr>
      </w:pPr>
    </w:p>
    <w:p w14:paraId="3F7EC21F" w14:textId="2996E556" w:rsidR="003277CD" w:rsidRDefault="003277CD" w:rsidP="00305983">
      <w:pPr>
        <w:pStyle w:val="Default"/>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Financing for </w:t>
      </w:r>
      <w:r w:rsidR="0063546B">
        <w:rPr>
          <w:rStyle w:val="A3"/>
          <w:rFonts w:ascii="Times New Roman" w:hAnsi="Times New Roman" w:cs="Times New Roman"/>
          <w:b w:val="0"/>
          <w:sz w:val="24"/>
          <w:szCs w:val="24"/>
        </w:rPr>
        <w:t>coursework und</w:t>
      </w:r>
      <w:r w:rsidR="007678F2">
        <w:rPr>
          <w:rStyle w:val="A3"/>
          <w:rFonts w:ascii="Times New Roman" w:hAnsi="Times New Roman" w:cs="Times New Roman"/>
          <w:b w:val="0"/>
          <w:sz w:val="24"/>
          <w:szCs w:val="24"/>
        </w:rPr>
        <w:t>ergraduate and graduate places</w:t>
      </w:r>
      <w:r w:rsidR="0063546B">
        <w:rPr>
          <w:rStyle w:val="A3"/>
          <w:rFonts w:ascii="Times New Roman" w:hAnsi="Times New Roman" w:cs="Times New Roman"/>
          <w:b w:val="0"/>
          <w:sz w:val="24"/>
          <w:szCs w:val="24"/>
        </w:rPr>
        <w:t xml:space="preserve"> subsidised by the Australian Government comprises a contribution from the Australian </w:t>
      </w:r>
      <w:r w:rsidR="007678F2">
        <w:rPr>
          <w:rStyle w:val="A3"/>
          <w:rFonts w:ascii="Times New Roman" w:hAnsi="Times New Roman" w:cs="Times New Roman"/>
          <w:b w:val="0"/>
          <w:sz w:val="24"/>
          <w:szCs w:val="24"/>
        </w:rPr>
        <w:t xml:space="preserve">Government and tuition fees up to maxima set by the Government. All universities currently charge the maximum fees for all subjects except for a few merit scholarships. The financing rates for 2014 are set out in </w:t>
      </w:r>
      <w:r w:rsidR="007678F2">
        <w:rPr>
          <w:rStyle w:val="A3"/>
          <w:rFonts w:ascii="Times New Roman" w:hAnsi="Times New Roman" w:cs="Times New Roman"/>
          <w:b w:val="0"/>
          <w:sz w:val="24"/>
          <w:szCs w:val="24"/>
        </w:rPr>
        <w:fldChar w:fldCharType="begin"/>
      </w:r>
      <w:r w:rsidR="007678F2">
        <w:rPr>
          <w:rStyle w:val="A3"/>
          <w:rFonts w:ascii="Times New Roman" w:hAnsi="Times New Roman" w:cs="Times New Roman"/>
          <w:b w:val="0"/>
          <w:sz w:val="24"/>
          <w:szCs w:val="24"/>
        </w:rPr>
        <w:instrText xml:space="preserve"> REF _Ref255739964 \h </w:instrText>
      </w:r>
      <w:r w:rsidR="007678F2">
        <w:rPr>
          <w:rStyle w:val="A3"/>
          <w:rFonts w:ascii="Times New Roman" w:hAnsi="Times New Roman" w:cs="Times New Roman"/>
          <w:b w:val="0"/>
          <w:sz w:val="24"/>
          <w:szCs w:val="24"/>
        </w:rPr>
      </w:r>
      <w:r w:rsidR="007678F2">
        <w:rPr>
          <w:rStyle w:val="A3"/>
          <w:rFonts w:ascii="Times New Roman" w:hAnsi="Times New Roman" w:cs="Times New Roman"/>
          <w:b w:val="0"/>
          <w:sz w:val="24"/>
          <w:szCs w:val="24"/>
        </w:rPr>
        <w:fldChar w:fldCharType="separate"/>
      </w:r>
      <w:r w:rsidR="00B83978" w:rsidRPr="007678F2">
        <w:rPr>
          <w:rStyle w:val="A3"/>
          <w:rFonts w:ascii="Times New Roman" w:hAnsi="Times New Roman" w:cs="Times New Roman"/>
          <w:b w:val="0"/>
          <w:sz w:val="24"/>
          <w:szCs w:val="24"/>
        </w:rPr>
        <w:t xml:space="preserve">Table </w:t>
      </w:r>
      <w:r w:rsidR="00B83978">
        <w:rPr>
          <w:rStyle w:val="A3"/>
          <w:rFonts w:ascii="Times New Roman" w:hAnsi="Times New Roman" w:cs="Times New Roman"/>
          <w:b w:val="0"/>
          <w:noProof/>
          <w:sz w:val="24"/>
          <w:szCs w:val="24"/>
        </w:rPr>
        <w:t>3</w:t>
      </w:r>
      <w:r w:rsidR="007678F2">
        <w:rPr>
          <w:rStyle w:val="A3"/>
          <w:rFonts w:ascii="Times New Roman" w:hAnsi="Times New Roman" w:cs="Times New Roman"/>
          <w:b w:val="0"/>
          <w:sz w:val="24"/>
          <w:szCs w:val="24"/>
        </w:rPr>
        <w:fldChar w:fldCharType="end"/>
      </w:r>
      <w:r w:rsidR="007678F2">
        <w:rPr>
          <w:rStyle w:val="A3"/>
          <w:rFonts w:ascii="Times New Roman" w:hAnsi="Times New Roman" w:cs="Times New Roman"/>
          <w:b w:val="0"/>
          <w:sz w:val="24"/>
          <w:szCs w:val="24"/>
        </w:rPr>
        <w:t>.</w:t>
      </w:r>
    </w:p>
    <w:p w14:paraId="27F52A50" w14:textId="77777777" w:rsidR="009D3429" w:rsidRPr="007678F2" w:rsidRDefault="009D3429" w:rsidP="007678F2">
      <w:pPr>
        <w:pStyle w:val="Default"/>
        <w:rPr>
          <w:rStyle w:val="A3"/>
          <w:rFonts w:ascii="Times New Roman" w:hAnsi="Times New Roman" w:cs="Times New Roman"/>
          <w:b w:val="0"/>
          <w:sz w:val="24"/>
          <w:szCs w:val="24"/>
        </w:rPr>
      </w:pPr>
    </w:p>
    <w:p w14:paraId="4F1C96DB" w14:textId="4D5B11A0" w:rsidR="009D3429" w:rsidRPr="007678F2" w:rsidRDefault="009D3429" w:rsidP="00F64944">
      <w:pPr>
        <w:pStyle w:val="Default"/>
        <w:jc w:val="center"/>
        <w:rPr>
          <w:rStyle w:val="A3"/>
          <w:rFonts w:ascii="Times New Roman" w:hAnsi="Times New Roman" w:cs="Times New Roman"/>
          <w:b w:val="0"/>
          <w:sz w:val="24"/>
          <w:szCs w:val="24"/>
        </w:rPr>
      </w:pPr>
      <w:bookmarkStart w:id="2" w:name="_Ref255739964"/>
      <w:r w:rsidRPr="007678F2">
        <w:rPr>
          <w:rStyle w:val="A3"/>
          <w:rFonts w:ascii="Times New Roman" w:hAnsi="Times New Roman" w:cs="Times New Roman"/>
          <w:b w:val="0"/>
          <w:sz w:val="24"/>
          <w:szCs w:val="24"/>
        </w:rPr>
        <w:t xml:space="preserve">Table </w:t>
      </w:r>
      <w:r w:rsidRPr="007678F2">
        <w:rPr>
          <w:rStyle w:val="A3"/>
          <w:rFonts w:ascii="Times New Roman" w:hAnsi="Times New Roman" w:cs="Times New Roman"/>
          <w:b w:val="0"/>
          <w:sz w:val="24"/>
          <w:szCs w:val="24"/>
        </w:rPr>
        <w:fldChar w:fldCharType="begin"/>
      </w:r>
      <w:r w:rsidRPr="007678F2">
        <w:rPr>
          <w:rStyle w:val="A3"/>
          <w:rFonts w:ascii="Times New Roman" w:hAnsi="Times New Roman" w:cs="Times New Roman"/>
          <w:b w:val="0"/>
          <w:sz w:val="24"/>
          <w:szCs w:val="24"/>
        </w:rPr>
        <w:instrText xml:space="preserve"> SEQ Table \* ARABIC </w:instrText>
      </w:r>
      <w:r w:rsidRPr="007678F2">
        <w:rPr>
          <w:rStyle w:val="A3"/>
          <w:rFonts w:ascii="Times New Roman" w:hAnsi="Times New Roman" w:cs="Times New Roman"/>
          <w:b w:val="0"/>
          <w:sz w:val="24"/>
          <w:szCs w:val="24"/>
        </w:rPr>
        <w:fldChar w:fldCharType="separate"/>
      </w:r>
      <w:r w:rsidR="00B83978">
        <w:rPr>
          <w:rStyle w:val="A3"/>
          <w:rFonts w:ascii="Times New Roman" w:hAnsi="Times New Roman" w:cs="Times New Roman"/>
          <w:b w:val="0"/>
          <w:noProof/>
          <w:sz w:val="24"/>
          <w:szCs w:val="24"/>
        </w:rPr>
        <w:t>3</w:t>
      </w:r>
      <w:r w:rsidRPr="007678F2">
        <w:rPr>
          <w:rStyle w:val="A3"/>
          <w:rFonts w:ascii="Times New Roman" w:hAnsi="Times New Roman" w:cs="Times New Roman"/>
          <w:b w:val="0"/>
          <w:sz w:val="24"/>
          <w:szCs w:val="24"/>
        </w:rPr>
        <w:fldChar w:fldCharType="end"/>
      </w:r>
      <w:bookmarkEnd w:id="2"/>
      <w:r w:rsidRPr="007678F2">
        <w:rPr>
          <w:rStyle w:val="A3"/>
          <w:rFonts w:ascii="Times New Roman" w:hAnsi="Times New Roman" w:cs="Times New Roman"/>
          <w:b w:val="0"/>
          <w:sz w:val="24"/>
          <w:szCs w:val="24"/>
        </w:rPr>
        <w:t>: maximum resourcing for government subsidised places, 2014</w:t>
      </w:r>
    </w:p>
    <w:p w14:paraId="16D42534" w14:textId="77777777" w:rsidR="009D3429" w:rsidRPr="00394975" w:rsidRDefault="009D3429" w:rsidP="009D3429"/>
    <w:tbl>
      <w:tblPr>
        <w:tblW w:w="10080" w:type="dxa"/>
        <w:tblInd w:w="9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992"/>
        <w:gridCol w:w="1559"/>
        <w:gridCol w:w="1276"/>
        <w:gridCol w:w="1559"/>
        <w:gridCol w:w="1418"/>
        <w:gridCol w:w="1276"/>
      </w:tblGrid>
      <w:tr w:rsidR="00394975" w:rsidRPr="00394975" w14:paraId="3FF1576A" w14:textId="77777777" w:rsidTr="00BC45F7">
        <w:trPr>
          <w:trHeight w:val="720"/>
          <w:tblHeader/>
        </w:trPr>
        <w:tc>
          <w:tcPr>
            <w:tcW w:w="2992" w:type="dxa"/>
            <w:tcBorders>
              <w:top w:val="single" w:sz="12" w:space="0" w:color="auto"/>
              <w:bottom w:val="single" w:sz="12" w:space="0" w:color="auto"/>
            </w:tcBorders>
            <w:shd w:val="clear" w:color="auto" w:fill="auto"/>
            <w:vAlign w:val="center"/>
            <w:hideMark/>
          </w:tcPr>
          <w:p w14:paraId="6FB355AB" w14:textId="77777777" w:rsidR="0063546B" w:rsidRPr="00394975" w:rsidRDefault="0063546B" w:rsidP="0063546B">
            <w:pPr>
              <w:rPr>
                <w:rFonts w:eastAsia="Times New Roman"/>
                <w:b/>
                <w:bCs/>
                <w:color w:val="000000"/>
                <w:lang w:eastAsia="en-US"/>
              </w:rPr>
            </w:pPr>
            <w:r w:rsidRPr="00394975">
              <w:rPr>
                <w:rFonts w:eastAsia="Times New Roman"/>
                <w:b/>
                <w:bCs/>
                <w:color w:val="000000"/>
                <w:lang w:eastAsia="en-US"/>
              </w:rPr>
              <w:t>Subject</w:t>
            </w:r>
          </w:p>
        </w:tc>
        <w:tc>
          <w:tcPr>
            <w:tcW w:w="1559" w:type="dxa"/>
            <w:tcBorders>
              <w:top w:val="single" w:sz="12" w:space="0" w:color="auto"/>
              <w:bottom w:val="single" w:sz="12" w:space="0" w:color="auto"/>
            </w:tcBorders>
            <w:shd w:val="clear" w:color="auto" w:fill="auto"/>
            <w:vAlign w:val="center"/>
            <w:hideMark/>
          </w:tcPr>
          <w:p w14:paraId="4DEA7D5A" w14:textId="77777777" w:rsidR="0063546B" w:rsidRPr="00394975" w:rsidRDefault="0063546B" w:rsidP="0063546B">
            <w:pPr>
              <w:jc w:val="right"/>
              <w:rPr>
                <w:rFonts w:eastAsia="Times New Roman"/>
                <w:b/>
                <w:bCs/>
                <w:color w:val="000000"/>
                <w:lang w:eastAsia="en-US"/>
              </w:rPr>
            </w:pPr>
            <w:r w:rsidRPr="00394975">
              <w:rPr>
                <w:rFonts w:eastAsia="Times New Roman"/>
                <w:b/>
                <w:bCs/>
                <w:color w:val="000000"/>
                <w:lang w:eastAsia="en-US"/>
              </w:rPr>
              <w:t>Maximum student contribution</w:t>
            </w:r>
          </w:p>
        </w:tc>
        <w:tc>
          <w:tcPr>
            <w:tcW w:w="1276" w:type="dxa"/>
            <w:tcBorders>
              <w:top w:val="single" w:sz="12" w:space="0" w:color="auto"/>
              <w:bottom w:val="single" w:sz="12" w:space="0" w:color="auto"/>
            </w:tcBorders>
            <w:shd w:val="clear" w:color="auto" w:fill="auto"/>
            <w:vAlign w:val="center"/>
            <w:hideMark/>
          </w:tcPr>
          <w:p w14:paraId="37D7C5D4" w14:textId="77777777" w:rsidR="0063546B" w:rsidRPr="00394975" w:rsidRDefault="0063546B" w:rsidP="0063546B">
            <w:pPr>
              <w:jc w:val="right"/>
              <w:rPr>
                <w:rFonts w:eastAsia="Times New Roman"/>
                <w:b/>
                <w:bCs/>
                <w:color w:val="000000"/>
                <w:lang w:eastAsia="en-US"/>
              </w:rPr>
            </w:pPr>
            <w:r w:rsidRPr="00394975">
              <w:rPr>
                <w:rFonts w:eastAsia="Times New Roman"/>
                <w:b/>
                <w:bCs/>
                <w:color w:val="000000"/>
                <w:lang w:eastAsia="en-US"/>
              </w:rPr>
              <w:t>Student as % of total</w:t>
            </w:r>
          </w:p>
        </w:tc>
        <w:tc>
          <w:tcPr>
            <w:tcW w:w="1559" w:type="dxa"/>
            <w:tcBorders>
              <w:top w:val="single" w:sz="12" w:space="0" w:color="auto"/>
              <w:bottom w:val="single" w:sz="12" w:space="0" w:color="auto"/>
            </w:tcBorders>
            <w:shd w:val="clear" w:color="auto" w:fill="auto"/>
            <w:vAlign w:val="center"/>
            <w:hideMark/>
          </w:tcPr>
          <w:p w14:paraId="6BCD3193" w14:textId="77777777" w:rsidR="0063546B" w:rsidRPr="00394975" w:rsidRDefault="0063546B" w:rsidP="0063546B">
            <w:pPr>
              <w:jc w:val="right"/>
              <w:rPr>
                <w:rFonts w:eastAsia="Times New Roman"/>
                <w:b/>
                <w:bCs/>
                <w:color w:val="000000"/>
                <w:lang w:eastAsia="en-US"/>
              </w:rPr>
            </w:pPr>
            <w:r w:rsidRPr="00394975">
              <w:rPr>
                <w:rFonts w:eastAsia="Times New Roman"/>
                <w:b/>
                <w:bCs/>
                <w:color w:val="000000"/>
                <w:lang w:eastAsia="en-US"/>
              </w:rPr>
              <w:t>Australian Government contribution</w:t>
            </w:r>
          </w:p>
        </w:tc>
        <w:tc>
          <w:tcPr>
            <w:tcW w:w="1418" w:type="dxa"/>
            <w:tcBorders>
              <w:top w:val="single" w:sz="12" w:space="0" w:color="auto"/>
              <w:bottom w:val="single" w:sz="12" w:space="0" w:color="auto"/>
            </w:tcBorders>
            <w:shd w:val="clear" w:color="auto" w:fill="auto"/>
            <w:vAlign w:val="center"/>
            <w:hideMark/>
          </w:tcPr>
          <w:p w14:paraId="39F3D342" w14:textId="77777777" w:rsidR="0063546B" w:rsidRPr="00394975" w:rsidRDefault="0063546B" w:rsidP="0063546B">
            <w:pPr>
              <w:jc w:val="right"/>
              <w:rPr>
                <w:rFonts w:eastAsia="Times New Roman"/>
                <w:b/>
                <w:bCs/>
                <w:color w:val="000000"/>
                <w:lang w:eastAsia="en-US"/>
              </w:rPr>
            </w:pPr>
            <w:r w:rsidRPr="00394975">
              <w:rPr>
                <w:rFonts w:eastAsia="Times New Roman"/>
                <w:b/>
                <w:bCs/>
                <w:color w:val="000000"/>
                <w:lang w:eastAsia="en-US"/>
              </w:rPr>
              <w:t>Total resourcing</w:t>
            </w:r>
          </w:p>
        </w:tc>
        <w:tc>
          <w:tcPr>
            <w:tcW w:w="1276" w:type="dxa"/>
            <w:tcBorders>
              <w:top w:val="single" w:sz="12" w:space="0" w:color="auto"/>
              <w:bottom w:val="single" w:sz="12" w:space="0" w:color="auto"/>
            </w:tcBorders>
            <w:shd w:val="clear" w:color="auto" w:fill="auto"/>
            <w:vAlign w:val="center"/>
            <w:hideMark/>
          </w:tcPr>
          <w:p w14:paraId="59FC5262" w14:textId="77777777" w:rsidR="0063546B" w:rsidRPr="00394975" w:rsidRDefault="0063546B" w:rsidP="0063546B">
            <w:pPr>
              <w:jc w:val="right"/>
              <w:rPr>
                <w:rFonts w:eastAsia="Times New Roman"/>
                <w:b/>
                <w:bCs/>
                <w:color w:val="000000"/>
                <w:lang w:eastAsia="en-US"/>
              </w:rPr>
            </w:pPr>
            <w:r w:rsidRPr="00394975">
              <w:rPr>
                <w:rFonts w:eastAsia="Times New Roman"/>
                <w:b/>
                <w:bCs/>
                <w:color w:val="000000"/>
                <w:lang w:eastAsia="en-US"/>
              </w:rPr>
              <w:t>Relativity</w:t>
            </w:r>
          </w:p>
        </w:tc>
      </w:tr>
      <w:tr w:rsidR="00394975" w:rsidRPr="00394975" w14:paraId="708701CD" w14:textId="77777777" w:rsidTr="00394975">
        <w:trPr>
          <w:trHeight w:val="240"/>
        </w:trPr>
        <w:tc>
          <w:tcPr>
            <w:tcW w:w="2992" w:type="dxa"/>
            <w:tcBorders>
              <w:top w:val="single" w:sz="12" w:space="0" w:color="auto"/>
            </w:tcBorders>
            <w:shd w:val="clear" w:color="auto" w:fill="auto"/>
            <w:vAlign w:val="center"/>
            <w:hideMark/>
          </w:tcPr>
          <w:p w14:paraId="28B340DF" w14:textId="77777777" w:rsidR="0063546B" w:rsidRPr="00394975" w:rsidRDefault="0063546B" w:rsidP="0063546B">
            <w:pPr>
              <w:rPr>
                <w:rFonts w:eastAsia="Times New Roman"/>
                <w:color w:val="000000"/>
                <w:lang w:eastAsia="en-US"/>
              </w:rPr>
            </w:pPr>
            <w:r w:rsidRPr="00394975">
              <w:rPr>
                <w:rFonts w:eastAsia="Times New Roman"/>
                <w:color w:val="000000"/>
                <w:lang w:eastAsia="en-US"/>
              </w:rPr>
              <w:t>Dentistry, medicine or veterinary science</w:t>
            </w:r>
          </w:p>
        </w:tc>
        <w:tc>
          <w:tcPr>
            <w:tcW w:w="1559" w:type="dxa"/>
            <w:tcBorders>
              <w:top w:val="single" w:sz="12" w:space="0" w:color="auto"/>
            </w:tcBorders>
            <w:shd w:val="clear" w:color="auto" w:fill="auto"/>
            <w:vAlign w:val="center"/>
            <w:hideMark/>
          </w:tcPr>
          <w:p w14:paraId="7FCC69CC"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10,085</w:t>
            </w:r>
          </w:p>
        </w:tc>
        <w:tc>
          <w:tcPr>
            <w:tcW w:w="1276" w:type="dxa"/>
            <w:tcBorders>
              <w:top w:val="single" w:sz="12" w:space="0" w:color="auto"/>
            </w:tcBorders>
            <w:shd w:val="clear" w:color="auto" w:fill="auto"/>
            <w:vAlign w:val="center"/>
            <w:hideMark/>
          </w:tcPr>
          <w:p w14:paraId="6003BF8D"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32</w:t>
            </w:r>
          </w:p>
        </w:tc>
        <w:tc>
          <w:tcPr>
            <w:tcW w:w="1559" w:type="dxa"/>
            <w:tcBorders>
              <w:top w:val="single" w:sz="12" w:space="0" w:color="auto"/>
            </w:tcBorders>
            <w:shd w:val="clear" w:color="auto" w:fill="auto"/>
            <w:vAlign w:val="center"/>
            <w:hideMark/>
          </w:tcPr>
          <w:p w14:paraId="0AD87B96"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21,273</w:t>
            </w:r>
          </w:p>
        </w:tc>
        <w:tc>
          <w:tcPr>
            <w:tcW w:w="1418" w:type="dxa"/>
            <w:tcBorders>
              <w:top w:val="single" w:sz="12" w:space="0" w:color="auto"/>
            </w:tcBorders>
            <w:shd w:val="clear" w:color="auto" w:fill="auto"/>
            <w:vAlign w:val="center"/>
            <w:hideMark/>
          </w:tcPr>
          <w:p w14:paraId="2E09EA88"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31,358</w:t>
            </w:r>
          </w:p>
        </w:tc>
        <w:tc>
          <w:tcPr>
            <w:tcW w:w="1276" w:type="dxa"/>
            <w:tcBorders>
              <w:top w:val="single" w:sz="12" w:space="0" w:color="auto"/>
            </w:tcBorders>
            <w:shd w:val="clear" w:color="auto" w:fill="auto"/>
            <w:vAlign w:val="center"/>
            <w:hideMark/>
          </w:tcPr>
          <w:p w14:paraId="4D77305B"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2.7</w:t>
            </w:r>
          </w:p>
        </w:tc>
      </w:tr>
      <w:tr w:rsidR="00394975" w:rsidRPr="00394975" w14:paraId="17984ECE" w14:textId="77777777" w:rsidTr="00394975">
        <w:trPr>
          <w:trHeight w:val="240"/>
        </w:trPr>
        <w:tc>
          <w:tcPr>
            <w:tcW w:w="2992" w:type="dxa"/>
            <w:shd w:val="clear" w:color="auto" w:fill="auto"/>
            <w:vAlign w:val="center"/>
            <w:hideMark/>
          </w:tcPr>
          <w:p w14:paraId="065D0126" w14:textId="77777777" w:rsidR="0063546B" w:rsidRPr="00394975" w:rsidRDefault="0063546B" w:rsidP="0063546B">
            <w:pPr>
              <w:rPr>
                <w:rFonts w:eastAsia="Times New Roman"/>
                <w:color w:val="000000"/>
                <w:lang w:eastAsia="en-US"/>
              </w:rPr>
            </w:pPr>
            <w:r w:rsidRPr="00394975">
              <w:rPr>
                <w:rFonts w:eastAsia="Times New Roman"/>
                <w:color w:val="000000"/>
                <w:lang w:eastAsia="en-US"/>
              </w:rPr>
              <w:t>Agriculture</w:t>
            </w:r>
          </w:p>
        </w:tc>
        <w:tc>
          <w:tcPr>
            <w:tcW w:w="1559" w:type="dxa"/>
            <w:shd w:val="clear" w:color="auto" w:fill="auto"/>
            <w:vAlign w:val="center"/>
            <w:hideMark/>
          </w:tcPr>
          <w:p w14:paraId="3901C308"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8,613</w:t>
            </w:r>
          </w:p>
        </w:tc>
        <w:tc>
          <w:tcPr>
            <w:tcW w:w="1276" w:type="dxa"/>
            <w:shd w:val="clear" w:color="auto" w:fill="auto"/>
            <w:vAlign w:val="center"/>
            <w:hideMark/>
          </w:tcPr>
          <w:p w14:paraId="13A3D48A"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29</w:t>
            </w:r>
          </w:p>
        </w:tc>
        <w:tc>
          <w:tcPr>
            <w:tcW w:w="1559" w:type="dxa"/>
            <w:shd w:val="clear" w:color="auto" w:fill="auto"/>
            <w:vAlign w:val="center"/>
            <w:hideMark/>
          </w:tcPr>
          <w:p w14:paraId="0F1D6251"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21,273</w:t>
            </w:r>
          </w:p>
        </w:tc>
        <w:tc>
          <w:tcPr>
            <w:tcW w:w="1418" w:type="dxa"/>
            <w:shd w:val="clear" w:color="auto" w:fill="auto"/>
            <w:vAlign w:val="center"/>
            <w:hideMark/>
          </w:tcPr>
          <w:p w14:paraId="75516908"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29,886</w:t>
            </w:r>
          </w:p>
        </w:tc>
        <w:tc>
          <w:tcPr>
            <w:tcW w:w="1276" w:type="dxa"/>
            <w:shd w:val="clear" w:color="auto" w:fill="auto"/>
            <w:vAlign w:val="center"/>
            <w:hideMark/>
          </w:tcPr>
          <w:p w14:paraId="4F374D2B"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2.6</w:t>
            </w:r>
          </w:p>
        </w:tc>
      </w:tr>
      <w:tr w:rsidR="00394975" w:rsidRPr="00394975" w14:paraId="4C47D65D" w14:textId="77777777" w:rsidTr="00394975">
        <w:trPr>
          <w:trHeight w:val="240"/>
        </w:trPr>
        <w:tc>
          <w:tcPr>
            <w:tcW w:w="2992" w:type="dxa"/>
            <w:shd w:val="clear" w:color="auto" w:fill="auto"/>
            <w:vAlign w:val="center"/>
            <w:hideMark/>
          </w:tcPr>
          <w:p w14:paraId="4913E2B1" w14:textId="77777777" w:rsidR="0063546B" w:rsidRPr="00394975" w:rsidRDefault="0063546B" w:rsidP="0063546B">
            <w:pPr>
              <w:rPr>
                <w:rFonts w:eastAsia="Times New Roman"/>
                <w:color w:val="000000"/>
                <w:lang w:eastAsia="en-US"/>
              </w:rPr>
            </w:pPr>
            <w:r w:rsidRPr="00394975">
              <w:rPr>
                <w:rFonts w:eastAsia="Times New Roman"/>
                <w:color w:val="000000"/>
                <w:lang w:eastAsia="en-US"/>
              </w:rPr>
              <w:t>Engineering, science, surveying</w:t>
            </w:r>
          </w:p>
        </w:tc>
        <w:tc>
          <w:tcPr>
            <w:tcW w:w="1559" w:type="dxa"/>
            <w:shd w:val="clear" w:color="auto" w:fill="auto"/>
            <w:vAlign w:val="center"/>
            <w:hideMark/>
          </w:tcPr>
          <w:p w14:paraId="1AEC8070"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8,613</w:t>
            </w:r>
          </w:p>
        </w:tc>
        <w:tc>
          <w:tcPr>
            <w:tcW w:w="1276" w:type="dxa"/>
            <w:shd w:val="clear" w:color="auto" w:fill="auto"/>
            <w:vAlign w:val="center"/>
            <w:hideMark/>
          </w:tcPr>
          <w:p w14:paraId="7E07FDE2"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34</w:t>
            </w:r>
          </w:p>
        </w:tc>
        <w:tc>
          <w:tcPr>
            <w:tcW w:w="1559" w:type="dxa"/>
            <w:shd w:val="clear" w:color="auto" w:fill="auto"/>
            <w:vAlign w:val="center"/>
            <w:hideMark/>
          </w:tcPr>
          <w:p w14:paraId="13A3C5F5"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16,762</w:t>
            </w:r>
          </w:p>
        </w:tc>
        <w:tc>
          <w:tcPr>
            <w:tcW w:w="1418" w:type="dxa"/>
            <w:shd w:val="clear" w:color="auto" w:fill="auto"/>
            <w:vAlign w:val="center"/>
            <w:hideMark/>
          </w:tcPr>
          <w:p w14:paraId="0CEE0F6A"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25,375</w:t>
            </w:r>
          </w:p>
        </w:tc>
        <w:tc>
          <w:tcPr>
            <w:tcW w:w="1276" w:type="dxa"/>
            <w:shd w:val="clear" w:color="auto" w:fill="auto"/>
            <w:vAlign w:val="center"/>
            <w:hideMark/>
          </w:tcPr>
          <w:p w14:paraId="23D20CF5"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2.2</w:t>
            </w:r>
          </w:p>
        </w:tc>
      </w:tr>
      <w:tr w:rsidR="00394975" w:rsidRPr="00394975" w14:paraId="622F7590" w14:textId="77777777" w:rsidTr="00394975">
        <w:trPr>
          <w:trHeight w:val="240"/>
        </w:trPr>
        <w:tc>
          <w:tcPr>
            <w:tcW w:w="2992" w:type="dxa"/>
            <w:shd w:val="clear" w:color="auto" w:fill="auto"/>
            <w:vAlign w:val="center"/>
            <w:hideMark/>
          </w:tcPr>
          <w:p w14:paraId="7AF792EF" w14:textId="77777777" w:rsidR="0063546B" w:rsidRPr="00394975" w:rsidRDefault="0063546B" w:rsidP="0063546B">
            <w:pPr>
              <w:rPr>
                <w:rFonts w:eastAsia="Times New Roman"/>
                <w:color w:val="000000"/>
                <w:lang w:eastAsia="en-US"/>
              </w:rPr>
            </w:pPr>
            <w:r w:rsidRPr="00394975">
              <w:rPr>
                <w:rFonts w:eastAsia="Times New Roman"/>
                <w:color w:val="000000"/>
                <w:lang w:eastAsia="en-US"/>
              </w:rPr>
              <w:t>Allied health</w:t>
            </w:r>
          </w:p>
        </w:tc>
        <w:tc>
          <w:tcPr>
            <w:tcW w:w="1559" w:type="dxa"/>
            <w:shd w:val="clear" w:color="auto" w:fill="auto"/>
            <w:vAlign w:val="center"/>
            <w:hideMark/>
          </w:tcPr>
          <w:p w14:paraId="06CCE346"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8,613</w:t>
            </w:r>
          </w:p>
        </w:tc>
        <w:tc>
          <w:tcPr>
            <w:tcW w:w="1276" w:type="dxa"/>
            <w:shd w:val="clear" w:color="auto" w:fill="auto"/>
            <w:vAlign w:val="center"/>
            <w:hideMark/>
          </w:tcPr>
          <w:p w14:paraId="7D379F0F"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42</w:t>
            </w:r>
          </w:p>
        </w:tc>
        <w:tc>
          <w:tcPr>
            <w:tcW w:w="1559" w:type="dxa"/>
            <w:shd w:val="clear" w:color="auto" w:fill="auto"/>
            <w:vAlign w:val="center"/>
            <w:hideMark/>
          </w:tcPr>
          <w:p w14:paraId="59DE1036"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11,790</w:t>
            </w:r>
          </w:p>
        </w:tc>
        <w:tc>
          <w:tcPr>
            <w:tcW w:w="1418" w:type="dxa"/>
            <w:shd w:val="clear" w:color="auto" w:fill="auto"/>
            <w:vAlign w:val="center"/>
            <w:hideMark/>
          </w:tcPr>
          <w:p w14:paraId="3720DAEF"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20,403</w:t>
            </w:r>
          </w:p>
        </w:tc>
        <w:tc>
          <w:tcPr>
            <w:tcW w:w="1276" w:type="dxa"/>
            <w:shd w:val="clear" w:color="auto" w:fill="auto"/>
            <w:vAlign w:val="center"/>
            <w:hideMark/>
          </w:tcPr>
          <w:p w14:paraId="027BCB36"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1.8</w:t>
            </w:r>
          </w:p>
        </w:tc>
      </w:tr>
      <w:tr w:rsidR="00394975" w:rsidRPr="00394975" w14:paraId="769B60EC" w14:textId="77777777" w:rsidTr="00394975">
        <w:trPr>
          <w:trHeight w:val="240"/>
        </w:trPr>
        <w:tc>
          <w:tcPr>
            <w:tcW w:w="2992" w:type="dxa"/>
            <w:shd w:val="clear" w:color="auto" w:fill="auto"/>
            <w:vAlign w:val="center"/>
            <w:hideMark/>
          </w:tcPr>
          <w:p w14:paraId="51BDEFD4" w14:textId="77777777" w:rsidR="0063546B" w:rsidRPr="00394975" w:rsidRDefault="0063546B" w:rsidP="0063546B">
            <w:pPr>
              <w:rPr>
                <w:rFonts w:eastAsia="Times New Roman"/>
                <w:color w:val="000000"/>
                <w:lang w:eastAsia="en-US"/>
              </w:rPr>
            </w:pPr>
            <w:r w:rsidRPr="00394975">
              <w:rPr>
                <w:rFonts w:eastAsia="Times New Roman"/>
                <w:color w:val="000000"/>
                <w:lang w:eastAsia="en-US"/>
              </w:rPr>
              <w:t>Nursing</w:t>
            </w:r>
          </w:p>
        </w:tc>
        <w:tc>
          <w:tcPr>
            <w:tcW w:w="1559" w:type="dxa"/>
            <w:shd w:val="clear" w:color="auto" w:fill="auto"/>
            <w:vAlign w:val="center"/>
            <w:hideMark/>
          </w:tcPr>
          <w:p w14:paraId="7EA672AD"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6,044</w:t>
            </w:r>
          </w:p>
        </w:tc>
        <w:tc>
          <w:tcPr>
            <w:tcW w:w="1276" w:type="dxa"/>
            <w:shd w:val="clear" w:color="auto" w:fill="auto"/>
            <w:vAlign w:val="center"/>
            <w:hideMark/>
          </w:tcPr>
          <w:p w14:paraId="528A4ECF"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31</w:t>
            </w:r>
          </w:p>
        </w:tc>
        <w:tc>
          <w:tcPr>
            <w:tcW w:w="1559" w:type="dxa"/>
            <w:shd w:val="clear" w:color="auto" w:fill="auto"/>
            <w:vAlign w:val="center"/>
            <w:hideMark/>
          </w:tcPr>
          <w:p w14:paraId="1EFE2DB3"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13,163</w:t>
            </w:r>
          </w:p>
        </w:tc>
        <w:tc>
          <w:tcPr>
            <w:tcW w:w="1418" w:type="dxa"/>
            <w:shd w:val="clear" w:color="auto" w:fill="auto"/>
            <w:vAlign w:val="center"/>
            <w:hideMark/>
          </w:tcPr>
          <w:p w14:paraId="182BDEFB"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19,207</w:t>
            </w:r>
          </w:p>
        </w:tc>
        <w:tc>
          <w:tcPr>
            <w:tcW w:w="1276" w:type="dxa"/>
            <w:shd w:val="clear" w:color="auto" w:fill="auto"/>
            <w:vAlign w:val="center"/>
            <w:hideMark/>
          </w:tcPr>
          <w:p w14:paraId="66160A70"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1.7</w:t>
            </w:r>
          </w:p>
        </w:tc>
      </w:tr>
      <w:tr w:rsidR="00394975" w:rsidRPr="00394975" w14:paraId="49EDBA3E" w14:textId="77777777" w:rsidTr="00394975">
        <w:trPr>
          <w:trHeight w:val="480"/>
        </w:trPr>
        <w:tc>
          <w:tcPr>
            <w:tcW w:w="2992" w:type="dxa"/>
            <w:shd w:val="clear" w:color="auto" w:fill="auto"/>
            <w:vAlign w:val="center"/>
            <w:hideMark/>
          </w:tcPr>
          <w:p w14:paraId="41E22FB3" w14:textId="77777777" w:rsidR="0063546B" w:rsidRPr="00394975" w:rsidRDefault="0063546B" w:rsidP="0063546B">
            <w:pPr>
              <w:rPr>
                <w:rFonts w:eastAsia="Times New Roman"/>
                <w:color w:val="000000"/>
                <w:lang w:eastAsia="en-US"/>
              </w:rPr>
            </w:pPr>
            <w:r w:rsidRPr="00394975">
              <w:rPr>
                <w:rFonts w:eastAsia="Times New Roman"/>
                <w:color w:val="000000"/>
                <w:lang w:eastAsia="en-US"/>
              </w:rPr>
              <w:t>Mathematics, statistics, computing, built environment or other health</w:t>
            </w:r>
          </w:p>
        </w:tc>
        <w:tc>
          <w:tcPr>
            <w:tcW w:w="1559" w:type="dxa"/>
            <w:shd w:val="clear" w:color="auto" w:fill="auto"/>
            <w:vAlign w:val="center"/>
            <w:hideMark/>
          </w:tcPr>
          <w:p w14:paraId="1D4CCA82"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8,613</w:t>
            </w:r>
          </w:p>
        </w:tc>
        <w:tc>
          <w:tcPr>
            <w:tcW w:w="1276" w:type="dxa"/>
            <w:shd w:val="clear" w:color="auto" w:fill="auto"/>
            <w:vAlign w:val="center"/>
            <w:hideMark/>
          </w:tcPr>
          <w:p w14:paraId="2601A6F5"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47</w:t>
            </w:r>
          </w:p>
        </w:tc>
        <w:tc>
          <w:tcPr>
            <w:tcW w:w="1559" w:type="dxa"/>
            <w:shd w:val="clear" w:color="auto" w:fill="auto"/>
            <w:vAlign w:val="center"/>
            <w:hideMark/>
          </w:tcPr>
          <w:p w14:paraId="286ED4A8"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9,587</w:t>
            </w:r>
          </w:p>
        </w:tc>
        <w:tc>
          <w:tcPr>
            <w:tcW w:w="1418" w:type="dxa"/>
            <w:shd w:val="clear" w:color="auto" w:fill="auto"/>
            <w:vAlign w:val="center"/>
            <w:hideMark/>
          </w:tcPr>
          <w:p w14:paraId="3EE0E7BB"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18,200</w:t>
            </w:r>
          </w:p>
        </w:tc>
        <w:tc>
          <w:tcPr>
            <w:tcW w:w="1276" w:type="dxa"/>
            <w:shd w:val="clear" w:color="auto" w:fill="auto"/>
            <w:vAlign w:val="center"/>
            <w:hideMark/>
          </w:tcPr>
          <w:p w14:paraId="5526BB56"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1.6</w:t>
            </w:r>
          </w:p>
        </w:tc>
      </w:tr>
      <w:tr w:rsidR="00394975" w:rsidRPr="00394975" w14:paraId="149C7099" w14:textId="77777777" w:rsidTr="00394975">
        <w:trPr>
          <w:trHeight w:val="480"/>
        </w:trPr>
        <w:tc>
          <w:tcPr>
            <w:tcW w:w="2992" w:type="dxa"/>
            <w:shd w:val="clear" w:color="auto" w:fill="auto"/>
            <w:vAlign w:val="center"/>
            <w:hideMark/>
          </w:tcPr>
          <w:p w14:paraId="400EBADC" w14:textId="27A44D71" w:rsidR="0063546B" w:rsidRPr="00394975" w:rsidRDefault="0063546B" w:rsidP="0063546B">
            <w:pPr>
              <w:rPr>
                <w:rFonts w:eastAsia="Times New Roman"/>
                <w:color w:val="000000"/>
                <w:lang w:eastAsia="en-US"/>
              </w:rPr>
            </w:pPr>
            <w:r w:rsidRPr="00394975">
              <w:rPr>
                <w:rFonts w:eastAsia="Times New Roman"/>
                <w:color w:val="000000"/>
                <w:lang w:eastAsia="en-US"/>
              </w:rPr>
              <w:t>Clinical psychol</w:t>
            </w:r>
            <w:r w:rsidR="00BC45F7">
              <w:rPr>
                <w:rFonts w:eastAsia="Times New Roman"/>
                <w:color w:val="000000"/>
                <w:lang w:eastAsia="en-US"/>
              </w:rPr>
              <w:t>ogy, foreign languages, or creative</w:t>
            </w:r>
            <w:r w:rsidRPr="00394975">
              <w:rPr>
                <w:rFonts w:eastAsia="Times New Roman"/>
                <w:color w:val="000000"/>
                <w:lang w:eastAsia="en-US"/>
              </w:rPr>
              <w:t xml:space="preserve"> arts</w:t>
            </w:r>
          </w:p>
        </w:tc>
        <w:tc>
          <w:tcPr>
            <w:tcW w:w="1559" w:type="dxa"/>
            <w:shd w:val="clear" w:color="auto" w:fill="auto"/>
            <w:vAlign w:val="center"/>
            <w:hideMark/>
          </w:tcPr>
          <w:p w14:paraId="102357B3"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6,044</w:t>
            </w:r>
          </w:p>
        </w:tc>
        <w:tc>
          <w:tcPr>
            <w:tcW w:w="1276" w:type="dxa"/>
            <w:shd w:val="clear" w:color="auto" w:fill="auto"/>
            <w:vAlign w:val="center"/>
            <w:hideMark/>
          </w:tcPr>
          <w:p w14:paraId="36E83656"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34</w:t>
            </w:r>
          </w:p>
        </w:tc>
        <w:tc>
          <w:tcPr>
            <w:tcW w:w="1559" w:type="dxa"/>
            <w:shd w:val="clear" w:color="auto" w:fill="auto"/>
            <w:vAlign w:val="center"/>
            <w:hideMark/>
          </w:tcPr>
          <w:p w14:paraId="05793F96"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11,790</w:t>
            </w:r>
          </w:p>
        </w:tc>
        <w:tc>
          <w:tcPr>
            <w:tcW w:w="1418" w:type="dxa"/>
            <w:shd w:val="clear" w:color="auto" w:fill="auto"/>
            <w:vAlign w:val="center"/>
            <w:hideMark/>
          </w:tcPr>
          <w:p w14:paraId="178915C4"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17,834</w:t>
            </w:r>
          </w:p>
        </w:tc>
        <w:tc>
          <w:tcPr>
            <w:tcW w:w="1276" w:type="dxa"/>
            <w:shd w:val="clear" w:color="auto" w:fill="auto"/>
            <w:vAlign w:val="center"/>
            <w:hideMark/>
          </w:tcPr>
          <w:p w14:paraId="0114C37E"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1.6</w:t>
            </w:r>
          </w:p>
        </w:tc>
      </w:tr>
      <w:tr w:rsidR="00394975" w:rsidRPr="00394975" w14:paraId="41715AEB" w14:textId="77777777" w:rsidTr="00394975">
        <w:trPr>
          <w:trHeight w:val="240"/>
        </w:trPr>
        <w:tc>
          <w:tcPr>
            <w:tcW w:w="2992" w:type="dxa"/>
            <w:shd w:val="clear" w:color="auto" w:fill="auto"/>
            <w:vAlign w:val="center"/>
            <w:hideMark/>
          </w:tcPr>
          <w:p w14:paraId="50985D6C" w14:textId="77777777" w:rsidR="0063546B" w:rsidRPr="00394975" w:rsidRDefault="0063546B" w:rsidP="0063546B">
            <w:pPr>
              <w:rPr>
                <w:rFonts w:eastAsia="Times New Roman"/>
                <w:color w:val="000000"/>
                <w:lang w:eastAsia="en-US"/>
              </w:rPr>
            </w:pPr>
            <w:r w:rsidRPr="00394975">
              <w:rPr>
                <w:rFonts w:eastAsia="Times New Roman"/>
                <w:color w:val="000000"/>
                <w:lang w:eastAsia="en-US"/>
              </w:rPr>
              <w:t>Education</w:t>
            </w:r>
          </w:p>
        </w:tc>
        <w:tc>
          <w:tcPr>
            <w:tcW w:w="1559" w:type="dxa"/>
            <w:shd w:val="clear" w:color="auto" w:fill="auto"/>
            <w:vAlign w:val="center"/>
            <w:hideMark/>
          </w:tcPr>
          <w:p w14:paraId="0044D44A"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6,044</w:t>
            </w:r>
          </w:p>
        </w:tc>
        <w:tc>
          <w:tcPr>
            <w:tcW w:w="1276" w:type="dxa"/>
            <w:shd w:val="clear" w:color="auto" w:fill="auto"/>
            <w:vAlign w:val="center"/>
            <w:hideMark/>
          </w:tcPr>
          <w:p w14:paraId="6B90C0CB"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38</w:t>
            </w:r>
          </w:p>
        </w:tc>
        <w:tc>
          <w:tcPr>
            <w:tcW w:w="1559" w:type="dxa"/>
            <w:shd w:val="clear" w:color="auto" w:fill="auto"/>
            <w:vAlign w:val="center"/>
            <w:hideMark/>
          </w:tcPr>
          <w:p w14:paraId="2B412881"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9,974</w:t>
            </w:r>
          </w:p>
        </w:tc>
        <w:tc>
          <w:tcPr>
            <w:tcW w:w="1418" w:type="dxa"/>
            <w:shd w:val="clear" w:color="auto" w:fill="auto"/>
            <w:vAlign w:val="center"/>
            <w:hideMark/>
          </w:tcPr>
          <w:p w14:paraId="7DBBAF5B"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16,018</w:t>
            </w:r>
          </w:p>
        </w:tc>
        <w:tc>
          <w:tcPr>
            <w:tcW w:w="1276" w:type="dxa"/>
            <w:shd w:val="clear" w:color="auto" w:fill="auto"/>
            <w:vAlign w:val="center"/>
            <w:hideMark/>
          </w:tcPr>
          <w:p w14:paraId="244335BD"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1.4</w:t>
            </w:r>
          </w:p>
        </w:tc>
      </w:tr>
      <w:tr w:rsidR="00394975" w:rsidRPr="00394975" w14:paraId="41D923FA" w14:textId="77777777" w:rsidTr="00394975">
        <w:trPr>
          <w:trHeight w:val="240"/>
        </w:trPr>
        <w:tc>
          <w:tcPr>
            <w:tcW w:w="2992" w:type="dxa"/>
            <w:shd w:val="clear" w:color="auto" w:fill="auto"/>
            <w:vAlign w:val="center"/>
            <w:hideMark/>
          </w:tcPr>
          <w:p w14:paraId="34B9B93F" w14:textId="77777777" w:rsidR="0063546B" w:rsidRPr="00394975" w:rsidRDefault="0063546B" w:rsidP="0063546B">
            <w:pPr>
              <w:rPr>
                <w:rFonts w:eastAsia="Times New Roman"/>
                <w:color w:val="000000"/>
                <w:lang w:eastAsia="en-US"/>
              </w:rPr>
            </w:pPr>
            <w:r w:rsidRPr="00394975">
              <w:rPr>
                <w:rFonts w:eastAsia="Times New Roman"/>
                <w:color w:val="000000"/>
                <w:lang w:eastAsia="en-US"/>
              </w:rPr>
              <w:t>Behavioural science or social studies</w:t>
            </w:r>
          </w:p>
        </w:tc>
        <w:tc>
          <w:tcPr>
            <w:tcW w:w="1559" w:type="dxa"/>
            <w:shd w:val="clear" w:color="auto" w:fill="auto"/>
            <w:vAlign w:val="center"/>
            <w:hideMark/>
          </w:tcPr>
          <w:p w14:paraId="5404717D"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6,044</w:t>
            </w:r>
          </w:p>
        </w:tc>
        <w:tc>
          <w:tcPr>
            <w:tcW w:w="1276" w:type="dxa"/>
            <w:shd w:val="clear" w:color="auto" w:fill="auto"/>
            <w:vAlign w:val="center"/>
            <w:hideMark/>
          </w:tcPr>
          <w:p w14:paraId="4982ACD0"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39</w:t>
            </w:r>
          </w:p>
        </w:tc>
        <w:tc>
          <w:tcPr>
            <w:tcW w:w="1559" w:type="dxa"/>
            <w:shd w:val="clear" w:color="auto" w:fill="auto"/>
            <w:vAlign w:val="center"/>
            <w:hideMark/>
          </w:tcPr>
          <w:p w14:paraId="352C90B0"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9,587</w:t>
            </w:r>
          </w:p>
        </w:tc>
        <w:tc>
          <w:tcPr>
            <w:tcW w:w="1418" w:type="dxa"/>
            <w:shd w:val="clear" w:color="auto" w:fill="auto"/>
            <w:vAlign w:val="center"/>
            <w:hideMark/>
          </w:tcPr>
          <w:p w14:paraId="09B783B6"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15,631</w:t>
            </w:r>
          </w:p>
        </w:tc>
        <w:tc>
          <w:tcPr>
            <w:tcW w:w="1276" w:type="dxa"/>
            <w:shd w:val="clear" w:color="auto" w:fill="auto"/>
            <w:vAlign w:val="center"/>
            <w:hideMark/>
          </w:tcPr>
          <w:p w14:paraId="60449370"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1.4</w:t>
            </w:r>
          </w:p>
        </w:tc>
      </w:tr>
      <w:tr w:rsidR="00394975" w:rsidRPr="00394975" w14:paraId="1DCEF035" w14:textId="77777777" w:rsidTr="00394975">
        <w:trPr>
          <w:trHeight w:val="480"/>
        </w:trPr>
        <w:tc>
          <w:tcPr>
            <w:tcW w:w="2992" w:type="dxa"/>
            <w:tcBorders>
              <w:bottom w:val="single" w:sz="4" w:space="0" w:color="auto"/>
            </w:tcBorders>
            <w:shd w:val="clear" w:color="auto" w:fill="auto"/>
            <w:vAlign w:val="center"/>
            <w:hideMark/>
          </w:tcPr>
          <w:p w14:paraId="42460410" w14:textId="77777777" w:rsidR="0063546B" w:rsidRPr="00394975" w:rsidRDefault="0063546B" w:rsidP="0063546B">
            <w:pPr>
              <w:rPr>
                <w:rFonts w:eastAsia="Times New Roman"/>
                <w:color w:val="000000"/>
                <w:lang w:eastAsia="en-US"/>
              </w:rPr>
            </w:pPr>
            <w:r w:rsidRPr="00394975">
              <w:rPr>
                <w:rFonts w:eastAsia="Times New Roman"/>
                <w:color w:val="000000"/>
                <w:lang w:eastAsia="en-US"/>
              </w:rPr>
              <w:t>Law, accounting, commerce, economics, administration</w:t>
            </w:r>
          </w:p>
        </w:tc>
        <w:tc>
          <w:tcPr>
            <w:tcW w:w="1559" w:type="dxa"/>
            <w:tcBorders>
              <w:bottom w:val="single" w:sz="4" w:space="0" w:color="auto"/>
            </w:tcBorders>
            <w:shd w:val="clear" w:color="auto" w:fill="auto"/>
            <w:vAlign w:val="center"/>
            <w:hideMark/>
          </w:tcPr>
          <w:p w14:paraId="1316B647"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10,085</w:t>
            </w:r>
          </w:p>
        </w:tc>
        <w:tc>
          <w:tcPr>
            <w:tcW w:w="1276" w:type="dxa"/>
            <w:tcBorders>
              <w:bottom w:val="single" w:sz="4" w:space="0" w:color="auto"/>
            </w:tcBorders>
            <w:shd w:val="clear" w:color="auto" w:fill="auto"/>
            <w:vAlign w:val="center"/>
            <w:hideMark/>
          </w:tcPr>
          <w:p w14:paraId="695B7AD0"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84</w:t>
            </w:r>
          </w:p>
        </w:tc>
        <w:tc>
          <w:tcPr>
            <w:tcW w:w="1559" w:type="dxa"/>
            <w:tcBorders>
              <w:bottom w:val="single" w:sz="4" w:space="0" w:color="auto"/>
            </w:tcBorders>
            <w:shd w:val="clear" w:color="auto" w:fill="auto"/>
            <w:vAlign w:val="center"/>
            <w:hideMark/>
          </w:tcPr>
          <w:p w14:paraId="7583602A"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1,951</w:t>
            </w:r>
          </w:p>
        </w:tc>
        <w:tc>
          <w:tcPr>
            <w:tcW w:w="1418" w:type="dxa"/>
            <w:tcBorders>
              <w:bottom w:val="single" w:sz="4" w:space="0" w:color="auto"/>
            </w:tcBorders>
            <w:shd w:val="clear" w:color="auto" w:fill="auto"/>
            <w:vAlign w:val="center"/>
            <w:hideMark/>
          </w:tcPr>
          <w:p w14:paraId="4C0D2CF5"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12,036</w:t>
            </w:r>
          </w:p>
        </w:tc>
        <w:tc>
          <w:tcPr>
            <w:tcW w:w="1276" w:type="dxa"/>
            <w:tcBorders>
              <w:bottom w:val="single" w:sz="4" w:space="0" w:color="auto"/>
            </w:tcBorders>
            <w:shd w:val="clear" w:color="auto" w:fill="auto"/>
            <w:vAlign w:val="center"/>
            <w:hideMark/>
          </w:tcPr>
          <w:p w14:paraId="30829D07"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1.0</w:t>
            </w:r>
          </w:p>
        </w:tc>
      </w:tr>
      <w:tr w:rsidR="00394975" w:rsidRPr="00394975" w14:paraId="44757C99" w14:textId="77777777" w:rsidTr="00394975">
        <w:trPr>
          <w:trHeight w:val="240"/>
        </w:trPr>
        <w:tc>
          <w:tcPr>
            <w:tcW w:w="2992" w:type="dxa"/>
            <w:tcBorders>
              <w:bottom w:val="single" w:sz="12" w:space="0" w:color="auto"/>
            </w:tcBorders>
            <w:shd w:val="clear" w:color="auto" w:fill="auto"/>
            <w:vAlign w:val="center"/>
            <w:hideMark/>
          </w:tcPr>
          <w:p w14:paraId="26E1F2DA" w14:textId="77777777" w:rsidR="0063546B" w:rsidRPr="00394975" w:rsidRDefault="0063546B" w:rsidP="0063546B">
            <w:pPr>
              <w:rPr>
                <w:rFonts w:eastAsia="Times New Roman"/>
                <w:color w:val="000000"/>
                <w:lang w:eastAsia="en-US"/>
              </w:rPr>
            </w:pPr>
            <w:r w:rsidRPr="00394975">
              <w:rPr>
                <w:rFonts w:eastAsia="Times New Roman"/>
                <w:color w:val="000000"/>
                <w:lang w:eastAsia="en-US"/>
              </w:rPr>
              <w:t>Humanities</w:t>
            </w:r>
          </w:p>
        </w:tc>
        <w:tc>
          <w:tcPr>
            <w:tcW w:w="1559" w:type="dxa"/>
            <w:tcBorders>
              <w:bottom w:val="single" w:sz="12" w:space="0" w:color="auto"/>
            </w:tcBorders>
            <w:shd w:val="clear" w:color="auto" w:fill="auto"/>
            <w:vAlign w:val="center"/>
            <w:hideMark/>
          </w:tcPr>
          <w:p w14:paraId="452E679E"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6,044</w:t>
            </w:r>
          </w:p>
        </w:tc>
        <w:tc>
          <w:tcPr>
            <w:tcW w:w="1276" w:type="dxa"/>
            <w:tcBorders>
              <w:bottom w:val="single" w:sz="12" w:space="0" w:color="auto"/>
            </w:tcBorders>
            <w:shd w:val="clear" w:color="auto" w:fill="auto"/>
            <w:vAlign w:val="center"/>
            <w:hideMark/>
          </w:tcPr>
          <w:p w14:paraId="2049EABF"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53</w:t>
            </w:r>
          </w:p>
        </w:tc>
        <w:tc>
          <w:tcPr>
            <w:tcW w:w="1559" w:type="dxa"/>
            <w:tcBorders>
              <w:bottom w:val="single" w:sz="12" w:space="0" w:color="auto"/>
            </w:tcBorders>
            <w:shd w:val="clear" w:color="auto" w:fill="auto"/>
            <w:vAlign w:val="center"/>
            <w:hideMark/>
          </w:tcPr>
          <w:p w14:paraId="4EBF6CC4"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5,419</w:t>
            </w:r>
          </w:p>
        </w:tc>
        <w:tc>
          <w:tcPr>
            <w:tcW w:w="1418" w:type="dxa"/>
            <w:tcBorders>
              <w:bottom w:val="single" w:sz="12" w:space="0" w:color="auto"/>
            </w:tcBorders>
            <w:shd w:val="clear" w:color="auto" w:fill="auto"/>
            <w:vAlign w:val="center"/>
            <w:hideMark/>
          </w:tcPr>
          <w:p w14:paraId="20BC6AB4"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11,463</w:t>
            </w:r>
          </w:p>
        </w:tc>
        <w:tc>
          <w:tcPr>
            <w:tcW w:w="1276" w:type="dxa"/>
            <w:tcBorders>
              <w:bottom w:val="single" w:sz="12" w:space="0" w:color="auto"/>
            </w:tcBorders>
            <w:shd w:val="clear" w:color="auto" w:fill="auto"/>
            <w:vAlign w:val="center"/>
            <w:hideMark/>
          </w:tcPr>
          <w:p w14:paraId="77564A83" w14:textId="77777777" w:rsidR="0063546B" w:rsidRPr="00394975" w:rsidRDefault="0063546B" w:rsidP="0063546B">
            <w:pPr>
              <w:jc w:val="right"/>
              <w:rPr>
                <w:rFonts w:eastAsia="Times New Roman"/>
                <w:color w:val="000000"/>
                <w:lang w:eastAsia="en-US"/>
              </w:rPr>
            </w:pPr>
            <w:r w:rsidRPr="00394975">
              <w:rPr>
                <w:rFonts w:eastAsia="Times New Roman"/>
                <w:color w:val="000000"/>
                <w:lang w:eastAsia="en-US"/>
              </w:rPr>
              <w:t>1.0</w:t>
            </w:r>
          </w:p>
        </w:tc>
      </w:tr>
    </w:tbl>
    <w:p w14:paraId="40923EF9" w14:textId="77777777" w:rsidR="0063546B" w:rsidRPr="00394975" w:rsidRDefault="0063546B" w:rsidP="009D3429"/>
    <w:p w14:paraId="517FA8A4" w14:textId="7798DBC2" w:rsidR="009D3429" w:rsidRPr="00394975" w:rsidRDefault="00BC45F7" w:rsidP="009D3429">
      <w:r>
        <w:t>Source: d</w:t>
      </w:r>
      <w:r w:rsidR="009D3429" w:rsidRPr="00394975">
        <w:t>erived from Department of Industry, Innovation, Climate Change, Science, Research and Tertiary Education (2013)</w:t>
      </w:r>
    </w:p>
    <w:p w14:paraId="2975859A" w14:textId="77777777" w:rsidR="009D3429" w:rsidRDefault="009D3429" w:rsidP="009D3429"/>
    <w:p w14:paraId="73237D1A" w14:textId="6C87DCDD" w:rsidR="00F64944" w:rsidRDefault="00F64944" w:rsidP="00F64944">
      <w:pPr>
        <w:jc w:val="center"/>
      </w:pPr>
      <w:r>
        <w:t xml:space="preserve">Table </w:t>
      </w:r>
      <w:fldSimple w:instr=" SEQ Table \* ARABIC ">
        <w:r w:rsidR="00B83978">
          <w:rPr>
            <w:noProof/>
          </w:rPr>
          <w:t>4</w:t>
        </w:r>
      </w:fldSimple>
      <w:r>
        <w:t>: conversion of key amounts into Canadian, UK and US currencies, 2014</w:t>
      </w:r>
    </w:p>
    <w:p w14:paraId="33835684" w14:textId="77777777" w:rsidR="00F64944" w:rsidRPr="00394975" w:rsidRDefault="00F64944" w:rsidP="009D3429"/>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96"/>
        <w:gridCol w:w="1197"/>
        <w:gridCol w:w="1196"/>
        <w:gridCol w:w="1197"/>
      </w:tblGrid>
      <w:tr w:rsidR="007C1097" w:rsidRPr="007678F2" w14:paraId="424E5563" w14:textId="77777777" w:rsidTr="00F64944">
        <w:trPr>
          <w:tblHeader/>
          <w:jc w:val="center"/>
        </w:trPr>
        <w:tc>
          <w:tcPr>
            <w:tcW w:w="1196" w:type="dxa"/>
            <w:tcBorders>
              <w:top w:val="single" w:sz="12" w:space="0" w:color="auto"/>
              <w:bottom w:val="single" w:sz="12" w:space="0" w:color="auto"/>
            </w:tcBorders>
          </w:tcPr>
          <w:p w14:paraId="015CDA12" w14:textId="77CCA7A3" w:rsidR="007678F2" w:rsidRPr="007678F2" w:rsidRDefault="007678F2" w:rsidP="009D3429">
            <w:pPr>
              <w:rPr>
                <w:b/>
              </w:rPr>
            </w:pPr>
            <w:r w:rsidRPr="007678F2">
              <w:rPr>
                <w:b/>
              </w:rPr>
              <w:t>AUD</w:t>
            </w:r>
          </w:p>
        </w:tc>
        <w:tc>
          <w:tcPr>
            <w:tcW w:w="1197" w:type="dxa"/>
            <w:tcBorders>
              <w:top w:val="single" w:sz="12" w:space="0" w:color="auto"/>
              <w:bottom w:val="single" w:sz="12" w:space="0" w:color="auto"/>
            </w:tcBorders>
          </w:tcPr>
          <w:p w14:paraId="62269FF5" w14:textId="2D27D69A" w:rsidR="007678F2" w:rsidRPr="007678F2" w:rsidRDefault="007678F2" w:rsidP="007C1097">
            <w:pPr>
              <w:jc w:val="right"/>
              <w:rPr>
                <w:b/>
              </w:rPr>
            </w:pPr>
            <w:r w:rsidRPr="007678F2">
              <w:rPr>
                <w:b/>
              </w:rPr>
              <w:t>CAD</w:t>
            </w:r>
          </w:p>
        </w:tc>
        <w:tc>
          <w:tcPr>
            <w:tcW w:w="1196" w:type="dxa"/>
            <w:tcBorders>
              <w:top w:val="single" w:sz="12" w:space="0" w:color="auto"/>
              <w:bottom w:val="single" w:sz="12" w:space="0" w:color="auto"/>
            </w:tcBorders>
          </w:tcPr>
          <w:p w14:paraId="7ED3556A" w14:textId="57167936" w:rsidR="007678F2" w:rsidRPr="007678F2" w:rsidRDefault="007678F2" w:rsidP="007C1097">
            <w:pPr>
              <w:jc w:val="right"/>
              <w:rPr>
                <w:b/>
              </w:rPr>
            </w:pPr>
            <w:r w:rsidRPr="007678F2">
              <w:rPr>
                <w:b/>
              </w:rPr>
              <w:t>GBP</w:t>
            </w:r>
          </w:p>
        </w:tc>
        <w:tc>
          <w:tcPr>
            <w:tcW w:w="1197" w:type="dxa"/>
            <w:tcBorders>
              <w:top w:val="single" w:sz="12" w:space="0" w:color="auto"/>
              <w:bottom w:val="single" w:sz="12" w:space="0" w:color="auto"/>
            </w:tcBorders>
          </w:tcPr>
          <w:p w14:paraId="0C80BFE4" w14:textId="1434E87B" w:rsidR="007678F2" w:rsidRPr="007678F2" w:rsidRDefault="007678F2" w:rsidP="007C1097">
            <w:pPr>
              <w:jc w:val="right"/>
              <w:rPr>
                <w:b/>
              </w:rPr>
            </w:pPr>
            <w:r w:rsidRPr="007678F2">
              <w:rPr>
                <w:b/>
              </w:rPr>
              <w:t>USD</w:t>
            </w:r>
          </w:p>
        </w:tc>
      </w:tr>
      <w:tr w:rsidR="007C1097" w14:paraId="33D5BD25" w14:textId="77777777" w:rsidTr="00F64944">
        <w:trPr>
          <w:jc w:val="center"/>
        </w:trPr>
        <w:tc>
          <w:tcPr>
            <w:tcW w:w="1196" w:type="dxa"/>
            <w:tcBorders>
              <w:top w:val="single" w:sz="12" w:space="0" w:color="auto"/>
            </w:tcBorders>
          </w:tcPr>
          <w:p w14:paraId="522E7C59" w14:textId="4CC784AF" w:rsidR="007678F2" w:rsidRDefault="007678F2" w:rsidP="009D3429">
            <w:r>
              <w:t>6,044</w:t>
            </w:r>
          </w:p>
        </w:tc>
        <w:tc>
          <w:tcPr>
            <w:tcW w:w="1197" w:type="dxa"/>
            <w:tcBorders>
              <w:top w:val="single" w:sz="12" w:space="0" w:color="auto"/>
            </w:tcBorders>
          </w:tcPr>
          <w:p w14:paraId="5C6543D0" w14:textId="6C27795D" w:rsidR="007678F2" w:rsidRDefault="007C1097" w:rsidP="007C1097">
            <w:pPr>
              <w:jc w:val="right"/>
            </w:pPr>
            <w:r>
              <w:t>6,035</w:t>
            </w:r>
          </w:p>
        </w:tc>
        <w:tc>
          <w:tcPr>
            <w:tcW w:w="1196" w:type="dxa"/>
            <w:tcBorders>
              <w:top w:val="single" w:sz="12" w:space="0" w:color="auto"/>
            </w:tcBorders>
          </w:tcPr>
          <w:p w14:paraId="33E76877" w14:textId="308BD4D4" w:rsidR="007678F2" w:rsidRDefault="008B213B" w:rsidP="007C1097">
            <w:pPr>
              <w:jc w:val="right"/>
            </w:pPr>
            <w:r>
              <w:t>3,282</w:t>
            </w:r>
          </w:p>
        </w:tc>
        <w:tc>
          <w:tcPr>
            <w:tcW w:w="1197" w:type="dxa"/>
            <w:tcBorders>
              <w:top w:val="single" w:sz="12" w:space="0" w:color="auto"/>
            </w:tcBorders>
          </w:tcPr>
          <w:p w14:paraId="4F9F7845" w14:textId="4167C6B7" w:rsidR="007678F2" w:rsidRDefault="007C1097" w:rsidP="007C1097">
            <w:pPr>
              <w:jc w:val="right"/>
            </w:pPr>
            <w:r>
              <w:t>5,493</w:t>
            </w:r>
          </w:p>
        </w:tc>
      </w:tr>
      <w:tr w:rsidR="007C1097" w14:paraId="68CA4B79" w14:textId="77777777" w:rsidTr="00F64944">
        <w:trPr>
          <w:jc w:val="center"/>
        </w:trPr>
        <w:tc>
          <w:tcPr>
            <w:tcW w:w="1196" w:type="dxa"/>
          </w:tcPr>
          <w:p w14:paraId="29C5F242" w14:textId="1D3A0ACA" w:rsidR="007678F2" w:rsidRDefault="007678F2" w:rsidP="009D3429">
            <w:r>
              <w:t>10,085</w:t>
            </w:r>
          </w:p>
        </w:tc>
        <w:tc>
          <w:tcPr>
            <w:tcW w:w="1197" w:type="dxa"/>
          </w:tcPr>
          <w:p w14:paraId="29EBA233" w14:textId="50F7E461" w:rsidR="007678F2" w:rsidRDefault="007C1097" w:rsidP="007C1097">
            <w:pPr>
              <w:jc w:val="right"/>
            </w:pPr>
            <w:r>
              <w:t>10,069</w:t>
            </w:r>
          </w:p>
        </w:tc>
        <w:tc>
          <w:tcPr>
            <w:tcW w:w="1196" w:type="dxa"/>
          </w:tcPr>
          <w:p w14:paraId="4FBA384C" w14:textId="36E07B61" w:rsidR="007678F2" w:rsidRDefault="007C1097" w:rsidP="007C1097">
            <w:pPr>
              <w:jc w:val="right"/>
            </w:pPr>
            <w:r>
              <w:t>5,476</w:t>
            </w:r>
          </w:p>
        </w:tc>
        <w:tc>
          <w:tcPr>
            <w:tcW w:w="1197" w:type="dxa"/>
          </w:tcPr>
          <w:p w14:paraId="360E972C" w14:textId="1A793484" w:rsidR="007678F2" w:rsidRDefault="007C1097" w:rsidP="007C1097">
            <w:pPr>
              <w:jc w:val="right"/>
            </w:pPr>
            <w:r>
              <w:t>9,165</w:t>
            </w:r>
          </w:p>
        </w:tc>
      </w:tr>
      <w:tr w:rsidR="007C1097" w14:paraId="24495408" w14:textId="77777777" w:rsidTr="00F64944">
        <w:trPr>
          <w:jc w:val="center"/>
        </w:trPr>
        <w:tc>
          <w:tcPr>
            <w:tcW w:w="1196" w:type="dxa"/>
            <w:tcBorders>
              <w:bottom w:val="single" w:sz="4" w:space="0" w:color="auto"/>
            </w:tcBorders>
          </w:tcPr>
          <w:p w14:paraId="33BE4EA7" w14:textId="56BC995C" w:rsidR="007678F2" w:rsidRDefault="007678F2" w:rsidP="009D3429">
            <w:r>
              <w:t>11,463</w:t>
            </w:r>
          </w:p>
        </w:tc>
        <w:tc>
          <w:tcPr>
            <w:tcW w:w="1197" w:type="dxa"/>
            <w:tcBorders>
              <w:bottom w:val="single" w:sz="4" w:space="0" w:color="auto"/>
            </w:tcBorders>
          </w:tcPr>
          <w:p w14:paraId="26DC3383" w14:textId="4260883F" w:rsidR="007678F2" w:rsidRDefault="00A64AA1" w:rsidP="007C1097">
            <w:pPr>
              <w:jc w:val="right"/>
            </w:pPr>
            <w:r>
              <w:t>11,445</w:t>
            </w:r>
          </w:p>
        </w:tc>
        <w:tc>
          <w:tcPr>
            <w:tcW w:w="1196" w:type="dxa"/>
            <w:tcBorders>
              <w:bottom w:val="single" w:sz="4" w:space="0" w:color="auto"/>
            </w:tcBorders>
          </w:tcPr>
          <w:p w14:paraId="68B0F012" w14:textId="0C57A398" w:rsidR="007678F2" w:rsidRDefault="00A64AA1" w:rsidP="007C1097">
            <w:pPr>
              <w:jc w:val="right"/>
            </w:pPr>
            <w:r>
              <w:t>6,224</w:t>
            </w:r>
          </w:p>
        </w:tc>
        <w:tc>
          <w:tcPr>
            <w:tcW w:w="1197" w:type="dxa"/>
            <w:tcBorders>
              <w:bottom w:val="single" w:sz="4" w:space="0" w:color="auto"/>
            </w:tcBorders>
          </w:tcPr>
          <w:p w14:paraId="66F6C751" w14:textId="192BB55E" w:rsidR="007678F2" w:rsidRDefault="00A64AA1" w:rsidP="007C1097">
            <w:pPr>
              <w:jc w:val="right"/>
            </w:pPr>
            <w:r>
              <w:t>10,417</w:t>
            </w:r>
          </w:p>
        </w:tc>
      </w:tr>
      <w:tr w:rsidR="007C1097" w14:paraId="0F34D446" w14:textId="77777777" w:rsidTr="00F64944">
        <w:trPr>
          <w:jc w:val="center"/>
        </w:trPr>
        <w:tc>
          <w:tcPr>
            <w:tcW w:w="1196" w:type="dxa"/>
            <w:tcBorders>
              <w:bottom w:val="single" w:sz="12" w:space="0" w:color="auto"/>
            </w:tcBorders>
          </w:tcPr>
          <w:p w14:paraId="2C297613" w14:textId="1C543E2F" w:rsidR="007678F2" w:rsidRDefault="007678F2" w:rsidP="009D3429">
            <w:r>
              <w:t>31,358</w:t>
            </w:r>
          </w:p>
        </w:tc>
        <w:tc>
          <w:tcPr>
            <w:tcW w:w="1197" w:type="dxa"/>
            <w:tcBorders>
              <w:bottom w:val="single" w:sz="12" w:space="0" w:color="auto"/>
            </w:tcBorders>
          </w:tcPr>
          <w:p w14:paraId="4DA36F19" w14:textId="15DCFD36" w:rsidR="007678F2" w:rsidRDefault="00A64AA1" w:rsidP="007C1097">
            <w:pPr>
              <w:jc w:val="right"/>
            </w:pPr>
            <w:r>
              <w:t>31,310</w:t>
            </w:r>
          </w:p>
        </w:tc>
        <w:tc>
          <w:tcPr>
            <w:tcW w:w="1196" w:type="dxa"/>
            <w:tcBorders>
              <w:bottom w:val="single" w:sz="12" w:space="0" w:color="auto"/>
            </w:tcBorders>
          </w:tcPr>
          <w:p w14:paraId="11E9F4C4" w14:textId="45883819" w:rsidR="007678F2" w:rsidRDefault="00A64AA1" w:rsidP="007C1097">
            <w:pPr>
              <w:jc w:val="right"/>
            </w:pPr>
            <w:r>
              <w:t>17,025</w:t>
            </w:r>
          </w:p>
        </w:tc>
        <w:tc>
          <w:tcPr>
            <w:tcW w:w="1197" w:type="dxa"/>
            <w:tcBorders>
              <w:bottom w:val="single" w:sz="12" w:space="0" w:color="auto"/>
            </w:tcBorders>
          </w:tcPr>
          <w:p w14:paraId="575FBF25" w14:textId="662C1E03" w:rsidR="007678F2" w:rsidRDefault="00A64AA1" w:rsidP="007C1097">
            <w:pPr>
              <w:jc w:val="right"/>
            </w:pPr>
            <w:r>
              <w:t>28,497</w:t>
            </w:r>
          </w:p>
        </w:tc>
      </w:tr>
    </w:tbl>
    <w:p w14:paraId="1C933F9C" w14:textId="77777777" w:rsidR="009D3429" w:rsidRPr="00F64944" w:rsidRDefault="009D3429" w:rsidP="00F64944">
      <w:pPr>
        <w:pStyle w:val="Default"/>
        <w:rPr>
          <w:rStyle w:val="A3"/>
          <w:rFonts w:ascii="Times New Roman" w:hAnsi="Times New Roman" w:cs="Times New Roman"/>
          <w:b w:val="0"/>
          <w:sz w:val="24"/>
          <w:szCs w:val="24"/>
        </w:rPr>
      </w:pPr>
    </w:p>
    <w:p w14:paraId="23919F37" w14:textId="486F5BD9" w:rsidR="009D3429" w:rsidRPr="00F64944" w:rsidRDefault="00A64AA1" w:rsidP="00305983">
      <w:pPr>
        <w:pStyle w:val="Default"/>
        <w:rPr>
          <w:rStyle w:val="A3"/>
          <w:rFonts w:ascii="Times New Roman" w:hAnsi="Times New Roman" w:cs="Times New Roman"/>
          <w:b w:val="0"/>
          <w:sz w:val="24"/>
          <w:szCs w:val="24"/>
        </w:rPr>
      </w:pPr>
      <w:r w:rsidRPr="00F64944">
        <w:rPr>
          <w:rStyle w:val="A3"/>
          <w:rFonts w:ascii="Times New Roman" w:hAnsi="Times New Roman" w:cs="Times New Roman"/>
          <w:b w:val="0"/>
          <w:sz w:val="24"/>
          <w:szCs w:val="24"/>
        </w:rPr>
        <w:t>Source: XE Currency Converter, 6 March 2014</w:t>
      </w:r>
      <w:r w:rsidR="00F64944">
        <w:rPr>
          <w:rStyle w:val="A3"/>
          <w:rFonts w:ascii="Times New Roman" w:hAnsi="Times New Roman" w:cs="Times New Roman"/>
          <w:b w:val="0"/>
          <w:sz w:val="24"/>
          <w:szCs w:val="24"/>
        </w:rPr>
        <w:t xml:space="preserve"> </w:t>
      </w:r>
      <w:r w:rsidR="00F64944" w:rsidRPr="00F64944">
        <w:rPr>
          <w:rStyle w:val="A3"/>
          <w:rFonts w:ascii="Times New Roman" w:hAnsi="Times New Roman" w:cs="Times New Roman"/>
          <w:b w:val="0"/>
          <w:sz w:val="24"/>
          <w:szCs w:val="24"/>
        </w:rPr>
        <w:t>http://www.xe.com/currencyconverter/</w:t>
      </w:r>
    </w:p>
    <w:p w14:paraId="7CE9FA25" w14:textId="77777777" w:rsidR="003277CD" w:rsidRPr="000E43CF" w:rsidRDefault="003277CD" w:rsidP="00305983">
      <w:pPr>
        <w:pStyle w:val="Default"/>
        <w:rPr>
          <w:rStyle w:val="A3"/>
          <w:rFonts w:ascii="Times New Roman" w:hAnsi="Times New Roman" w:cs="Times New Roman"/>
          <w:b w:val="0"/>
          <w:sz w:val="24"/>
          <w:szCs w:val="24"/>
        </w:rPr>
      </w:pPr>
    </w:p>
    <w:p w14:paraId="42E1D4F7" w14:textId="608C9AD5" w:rsidR="000B7299" w:rsidRPr="00F854FE" w:rsidRDefault="00F64944" w:rsidP="000B7299">
      <w:pPr>
        <w:pStyle w:val="Default"/>
        <w:rPr>
          <w:rStyle w:val="A3"/>
          <w:rFonts w:ascii="Times New Roman" w:hAnsi="Times New Roman" w:cs="Times New Roman"/>
          <w:b w:val="0"/>
          <w:sz w:val="24"/>
          <w:szCs w:val="24"/>
        </w:rPr>
      </w:pPr>
      <w:r w:rsidRPr="000E43CF">
        <w:rPr>
          <w:rStyle w:val="A3"/>
          <w:rFonts w:ascii="Times New Roman" w:hAnsi="Times New Roman" w:cs="Times New Roman"/>
          <w:b w:val="0"/>
          <w:sz w:val="24"/>
          <w:szCs w:val="24"/>
        </w:rPr>
        <w:t xml:space="preserve">The Australian Government offers tuition loans to all students at approved private providers up to a lifetime maximum of </w:t>
      </w:r>
      <w:r w:rsidRPr="000E43CF">
        <w:rPr>
          <w:rStyle w:val="A3"/>
          <w:rFonts w:ascii="Times New Roman" w:hAnsi="Times New Roman" w:cs="Times New Roman"/>
          <w:b w:val="0"/>
          <w:bCs w:val="0"/>
          <w:sz w:val="24"/>
          <w:szCs w:val="24"/>
        </w:rPr>
        <w:t xml:space="preserve">$120,002 (119,894 CAD, </w:t>
      </w:r>
      <w:r w:rsidRPr="000E43CF">
        <w:rPr>
          <w:rStyle w:val="A3"/>
          <w:rFonts w:ascii="Times New Roman" w:hAnsi="Times New Roman" w:cs="Times New Roman"/>
          <w:b w:val="0"/>
          <w:sz w:val="24"/>
          <w:szCs w:val="24"/>
        </w:rPr>
        <w:t>£</w:t>
      </w:r>
      <w:r w:rsidRPr="000E43CF">
        <w:rPr>
          <w:rStyle w:val="A3"/>
          <w:rFonts w:ascii="Times New Roman" w:hAnsi="Times New Roman" w:cs="Times New Roman"/>
          <w:b w:val="0"/>
          <w:bCs w:val="0"/>
          <w:sz w:val="24"/>
          <w:szCs w:val="24"/>
        </w:rPr>
        <w:t xml:space="preserve">65,153, 109,056 USD) </w:t>
      </w:r>
      <w:r w:rsidRPr="000E43CF">
        <w:rPr>
          <w:rStyle w:val="A3"/>
          <w:rFonts w:ascii="Times New Roman" w:hAnsi="Times New Roman" w:cs="Times New Roman"/>
          <w:b w:val="0"/>
          <w:sz w:val="24"/>
          <w:szCs w:val="24"/>
        </w:rPr>
        <w:t xml:space="preserve">for medicine, dentistry and veterinary science students and </w:t>
      </w:r>
      <w:r w:rsidRPr="000E43CF">
        <w:rPr>
          <w:rStyle w:val="A3"/>
          <w:rFonts w:ascii="Times New Roman" w:hAnsi="Times New Roman" w:cs="Times New Roman"/>
          <w:b w:val="0"/>
          <w:bCs w:val="0"/>
          <w:sz w:val="24"/>
          <w:szCs w:val="24"/>
        </w:rPr>
        <w:t xml:space="preserve">$96,000 (95,957 CAD, </w:t>
      </w:r>
      <w:r w:rsidRPr="000E43CF">
        <w:rPr>
          <w:rStyle w:val="A3"/>
          <w:rFonts w:ascii="Times New Roman" w:hAnsi="Times New Roman" w:cs="Times New Roman"/>
          <w:b w:val="0"/>
          <w:sz w:val="24"/>
          <w:szCs w:val="24"/>
        </w:rPr>
        <w:t>£</w:t>
      </w:r>
      <w:r w:rsidRPr="000E43CF">
        <w:rPr>
          <w:rStyle w:val="A3"/>
          <w:rFonts w:ascii="Times New Roman" w:hAnsi="Times New Roman" w:cs="Times New Roman"/>
          <w:b w:val="0"/>
          <w:bCs w:val="0"/>
          <w:sz w:val="24"/>
          <w:szCs w:val="24"/>
        </w:rPr>
        <w:t xml:space="preserve">52,130, 87,255 USD) </w:t>
      </w:r>
      <w:r w:rsidRPr="000E43CF">
        <w:rPr>
          <w:rStyle w:val="A3"/>
          <w:rFonts w:ascii="Times New Roman" w:hAnsi="Times New Roman" w:cs="Times New Roman"/>
          <w:b w:val="0"/>
          <w:sz w:val="24"/>
          <w:szCs w:val="24"/>
        </w:rPr>
        <w:t>for all other students.</w:t>
      </w:r>
      <w:r w:rsidR="000E43CF">
        <w:rPr>
          <w:rStyle w:val="A3"/>
          <w:rFonts w:ascii="Times New Roman" w:hAnsi="Times New Roman" w:cs="Times New Roman"/>
          <w:b w:val="0"/>
          <w:sz w:val="24"/>
          <w:szCs w:val="24"/>
        </w:rPr>
        <w:t xml:space="preserve"> All tuition loans are universal and income contingent. That is, they are </w:t>
      </w:r>
      <w:r w:rsidR="00861D42">
        <w:rPr>
          <w:rStyle w:val="A3"/>
          <w:rFonts w:ascii="Times New Roman" w:hAnsi="Times New Roman" w:cs="Times New Roman"/>
          <w:b w:val="0"/>
          <w:sz w:val="24"/>
          <w:szCs w:val="24"/>
        </w:rPr>
        <w:t xml:space="preserve">all </w:t>
      </w:r>
      <w:r w:rsidR="000E43CF">
        <w:rPr>
          <w:rStyle w:val="A3"/>
          <w:rFonts w:ascii="Times New Roman" w:hAnsi="Times New Roman" w:cs="Times New Roman"/>
          <w:b w:val="0"/>
          <w:sz w:val="24"/>
          <w:szCs w:val="24"/>
        </w:rPr>
        <w:t xml:space="preserve">available to all Australian students without a means test </w:t>
      </w:r>
      <w:r w:rsidR="00861D42">
        <w:rPr>
          <w:rStyle w:val="A3"/>
          <w:rFonts w:ascii="Times New Roman" w:hAnsi="Times New Roman" w:cs="Times New Roman"/>
          <w:b w:val="0"/>
          <w:sz w:val="24"/>
          <w:szCs w:val="24"/>
        </w:rPr>
        <w:t xml:space="preserve">provided they are enrolled in an approved institution </w:t>
      </w:r>
      <w:r w:rsidR="000E43CF">
        <w:rPr>
          <w:rStyle w:val="A3"/>
          <w:rFonts w:ascii="Times New Roman" w:hAnsi="Times New Roman" w:cs="Times New Roman"/>
          <w:b w:val="0"/>
          <w:sz w:val="24"/>
          <w:szCs w:val="24"/>
        </w:rPr>
        <w:t xml:space="preserve">and they are repaid thru the tax system at a scale that </w:t>
      </w:r>
      <w:r w:rsidR="000E43CF" w:rsidRPr="00F854FE">
        <w:rPr>
          <w:rStyle w:val="A3"/>
          <w:rFonts w:ascii="Times New Roman" w:hAnsi="Times New Roman" w:cs="Times New Roman"/>
          <w:b w:val="0"/>
          <w:sz w:val="24"/>
          <w:szCs w:val="24"/>
        </w:rPr>
        <w:t xml:space="preserve">varies according to (former) students’ income. Repayment rates are shown in </w:t>
      </w:r>
      <w:r w:rsidR="00B9045C">
        <w:rPr>
          <w:rStyle w:val="A3"/>
          <w:rFonts w:ascii="Times New Roman" w:hAnsi="Times New Roman" w:cs="Times New Roman"/>
          <w:b w:val="0"/>
          <w:sz w:val="24"/>
          <w:szCs w:val="24"/>
        </w:rPr>
        <w:fldChar w:fldCharType="begin"/>
      </w:r>
      <w:r w:rsidR="00B9045C">
        <w:rPr>
          <w:rStyle w:val="A3"/>
          <w:rFonts w:ascii="Times New Roman" w:hAnsi="Times New Roman" w:cs="Times New Roman"/>
          <w:b w:val="0"/>
          <w:sz w:val="24"/>
          <w:szCs w:val="24"/>
        </w:rPr>
        <w:instrText xml:space="preserve"> REF _Ref255743047 \h </w:instrText>
      </w:r>
      <w:r w:rsidR="00B9045C">
        <w:rPr>
          <w:rStyle w:val="A3"/>
          <w:rFonts w:ascii="Times New Roman" w:hAnsi="Times New Roman" w:cs="Times New Roman"/>
          <w:b w:val="0"/>
          <w:sz w:val="24"/>
          <w:szCs w:val="24"/>
        </w:rPr>
      </w:r>
      <w:r w:rsidR="00B9045C">
        <w:rPr>
          <w:rStyle w:val="A3"/>
          <w:rFonts w:ascii="Times New Roman" w:hAnsi="Times New Roman" w:cs="Times New Roman"/>
          <w:b w:val="0"/>
          <w:sz w:val="24"/>
          <w:szCs w:val="24"/>
        </w:rPr>
        <w:fldChar w:fldCharType="separate"/>
      </w:r>
      <w:r w:rsidR="00B83978" w:rsidRPr="00B9045C">
        <w:rPr>
          <w:rStyle w:val="A3"/>
          <w:rFonts w:ascii="Times New Roman" w:hAnsi="Times New Roman" w:cs="Times New Roman"/>
          <w:b w:val="0"/>
          <w:sz w:val="24"/>
          <w:szCs w:val="24"/>
        </w:rPr>
        <w:t xml:space="preserve">Table </w:t>
      </w:r>
      <w:r w:rsidR="00B83978">
        <w:rPr>
          <w:rStyle w:val="A3"/>
          <w:rFonts w:ascii="Times New Roman" w:hAnsi="Times New Roman" w:cs="Times New Roman"/>
          <w:b w:val="0"/>
          <w:noProof/>
          <w:sz w:val="24"/>
          <w:szCs w:val="24"/>
        </w:rPr>
        <w:t>5</w:t>
      </w:r>
      <w:r w:rsidR="00B9045C">
        <w:rPr>
          <w:rStyle w:val="A3"/>
          <w:rFonts w:ascii="Times New Roman" w:hAnsi="Times New Roman" w:cs="Times New Roman"/>
          <w:b w:val="0"/>
          <w:sz w:val="24"/>
          <w:szCs w:val="24"/>
        </w:rPr>
        <w:fldChar w:fldCharType="end"/>
      </w:r>
      <w:r w:rsidR="00B9045C">
        <w:rPr>
          <w:rStyle w:val="A3"/>
          <w:rFonts w:ascii="Times New Roman" w:hAnsi="Times New Roman" w:cs="Times New Roman"/>
          <w:b w:val="0"/>
          <w:sz w:val="24"/>
          <w:szCs w:val="24"/>
        </w:rPr>
        <w:t>.</w:t>
      </w:r>
    </w:p>
    <w:p w14:paraId="5C8FBE80" w14:textId="77777777" w:rsidR="000E43CF" w:rsidRDefault="000E43CF" w:rsidP="000B7299">
      <w:pPr>
        <w:pStyle w:val="Default"/>
        <w:rPr>
          <w:rStyle w:val="A3"/>
          <w:rFonts w:ascii="Times New Roman" w:hAnsi="Times New Roman" w:cs="Times New Roman"/>
          <w:b w:val="0"/>
          <w:sz w:val="24"/>
          <w:szCs w:val="24"/>
        </w:rPr>
      </w:pPr>
    </w:p>
    <w:p w14:paraId="2AFD9FE9" w14:textId="1A9102E1" w:rsidR="00861D42" w:rsidRPr="00B9045C" w:rsidRDefault="00B9045C" w:rsidP="00B9045C">
      <w:pPr>
        <w:pStyle w:val="Default"/>
        <w:jc w:val="center"/>
        <w:rPr>
          <w:rStyle w:val="A3"/>
          <w:rFonts w:ascii="Times New Roman" w:hAnsi="Times New Roman" w:cs="Times New Roman"/>
          <w:b w:val="0"/>
          <w:sz w:val="24"/>
          <w:szCs w:val="24"/>
        </w:rPr>
      </w:pPr>
      <w:bookmarkStart w:id="3" w:name="_Ref255743047"/>
      <w:r w:rsidRPr="00B9045C">
        <w:rPr>
          <w:rStyle w:val="A3"/>
          <w:rFonts w:ascii="Times New Roman" w:hAnsi="Times New Roman" w:cs="Times New Roman"/>
          <w:b w:val="0"/>
          <w:sz w:val="24"/>
          <w:szCs w:val="24"/>
        </w:rPr>
        <w:t xml:space="preserve">Table </w:t>
      </w:r>
      <w:r w:rsidRPr="00B9045C">
        <w:rPr>
          <w:rStyle w:val="A3"/>
          <w:rFonts w:ascii="Times New Roman" w:hAnsi="Times New Roman" w:cs="Times New Roman"/>
          <w:b w:val="0"/>
          <w:sz w:val="24"/>
          <w:szCs w:val="24"/>
        </w:rPr>
        <w:fldChar w:fldCharType="begin"/>
      </w:r>
      <w:r w:rsidRPr="00B9045C">
        <w:rPr>
          <w:rStyle w:val="A3"/>
          <w:rFonts w:ascii="Times New Roman" w:hAnsi="Times New Roman" w:cs="Times New Roman"/>
          <w:b w:val="0"/>
          <w:sz w:val="24"/>
          <w:szCs w:val="24"/>
        </w:rPr>
        <w:instrText xml:space="preserve"> SEQ Table \* ARABIC </w:instrText>
      </w:r>
      <w:r w:rsidRPr="00B9045C">
        <w:rPr>
          <w:rStyle w:val="A3"/>
          <w:rFonts w:ascii="Times New Roman" w:hAnsi="Times New Roman" w:cs="Times New Roman"/>
          <w:b w:val="0"/>
          <w:sz w:val="24"/>
          <w:szCs w:val="24"/>
        </w:rPr>
        <w:fldChar w:fldCharType="separate"/>
      </w:r>
      <w:r w:rsidR="00B83978">
        <w:rPr>
          <w:rStyle w:val="A3"/>
          <w:rFonts w:ascii="Times New Roman" w:hAnsi="Times New Roman" w:cs="Times New Roman"/>
          <w:b w:val="0"/>
          <w:noProof/>
          <w:sz w:val="24"/>
          <w:szCs w:val="24"/>
        </w:rPr>
        <w:t>5</w:t>
      </w:r>
      <w:r w:rsidRPr="00B9045C">
        <w:rPr>
          <w:rStyle w:val="A3"/>
          <w:rFonts w:ascii="Times New Roman" w:hAnsi="Times New Roman" w:cs="Times New Roman"/>
          <w:b w:val="0"/>
          <w:sz w:val="24"/>
          <w:szCs w:val="24"/>
        </w:rPr>
        <w:fldChar w:fldCharType="end"/>
      </w:r>
      <w:bookmarkEnd w:id="3"/>
      <w:r w:rsidRPr="00B9045C">
        <w:rPr>
          <w:rStyle w:val="A3"/>
          <w:rFonts w:ascii="Times New Roman" w:hAnsi="Times New Roman" w:cs="Times New Roman"/>
          <w:b w:val="0"/>
          <w:sz w:val="24"/>
          <w:szCs w:val="24"/>
        </w:rPr>
        <w:t>: Australian tuition loan repayment rates, 2013-4</w:t>
      </w:r>
    </w:p>
    <w:p w14:paraId="5EEC84A2" w14:textId="77777777" w:rsidR="00861D42" w:rsidRDefault="00861D42" w:rsidP="000B7299">
      <w:pPr>
        <w:pStyle w:val="Default"/>
        <w:rPr>
          <w:rStyle w:val="A3"/>
          <w:rFonts w:ascii="Times New Roman" w:hAnsi="Times New Roman" w:cs="Times New Roman"/>
          <w:b w:val="0"/>
          <w:sz w:val="24"/>
          <w:szCs w:val="24"/>
        </w:rPr>
      </w:pPr>
    </w:p>
    <w:tbl>
      <w:tblPr>
        <w:tblW w:w="8300" w:type="dxa"/>
        <w:tblInd w:w="93"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2029"/>
        <w:gridCol w:w="1759"/>
        <w:gridCol w:w="1542"/>
        <w:gridCol w:w="1580"/>
        <w:gridCol w:w="1390"/>
      </w:tblGrid>
      <w:tr w:rsidR="00EE2825" w:rsidRPr="009D6EBB" w14:paraId="03D647B0" w14:textId="77777777" w:rsidTr="00861D42">
        <w:trPr>
          <w:trHeight w:val="320"/>
        </w:trPr>
        <w:tc>
          <w:tcPr>
            <w:tcW w:w="2060" w:type="dxa"/>
            <w:tcBorders>
              <w:top w:val="single" w:sz="12" w:space="0" w:color="000000" w:themeColor="text1"/>
              <w:bottom w:val="single" w:sz="12" w:space="0" w:color="000000" w:themeColor="text1"/>
            </w:tcBorders>
            <w:shd w:val="clear" w:color="000000" w:fill="FFFFFF"/>
            <w:vAlign w:val="center"/>
            <w:hideMark/>
          </w:tcPr>
          <w:p w14:paraId="36EA2FB4" w14:textId="77777777" w:rsidR="009D6EBB" w:rsidRPr="00B83978" w:rsidRDefault="009D6EBB" w:rsidP="009D6EBB">
            <w:pPr>
              <w:rPr>
                <w:rFonts w:eastAsia="Times New Roman"/>
                <w:b/>
                <w:bCs/>
                <w:color w:val="000000"/>
                <w:lang w:eastAsia="en-US"/>
              </w:rPr>
            </w:pPr>
            <w:r w:rsidRPr="00B83978">
              <w:rPr>
                <w:rFonts w:eastAsia="Times New Roman"/>
                <w:b/>
                <w:bCs/>
                <w:color w:val="000000"/>
                <w:lang w:eastAsia="en-US"/>
              </w:rPr>
              <w:t>Income AUD</w:t>
            </w:r>
          </w:p>
        </w:tc>
        <w:tc>
          <w:tcPr>
            <w:tcW w:w="1783" w:type="dxa"/>
            <w:tcBorders>
              <w:top w:val="single" w:sz="12" w:space="0" w:color="000000" w:themeColor="text1"/>
              <w:bottom w:val="single" w:sz="12" w:space="0" w:color="000000" w:themeColor="text1"/>
            </w:tcBorders>
            <w:shd w:val="clear" w:color="000000" w:fill="FFFFFF"/>
            <w:vAlign w:val="center"/>
            <w:hideMark/>
          </w:tcPr>
          <w:p w14:paraId="5134ED1F" w14:textId="77777777" w:rsidR="009D6EBB" w:rsidRPr="00B83978" w:rsidRDefault="009D6EBB" w:rsidP="00EE2825">
            <w:pPr>
              <w:jc w:val="right"/>
              <w:rPr>
                <w:rFonts w:eastAsia="Times New Roman"/>
                <w:b/>
                <w:bCs/>
                <w:color w:val="000000"/>
                <w:lang w:eastAsia="en-US"/>
              </w:rPr>
            </w:pPr>
            <w:r w:rsidRPr="00B83978">
              <w:rPr>
                <w:rFonts w:eastAsia="Times New Roman"/>
                <w:b/>
                <w:bCs/>
                <w:color w:val="000000"/>
                <w:lang w:eastAsia="en-US"/>
              </w:rPr>
              <w:t>Income CAD</w:t>
            </w:r>
          </w:p>
        </w:tc>
        <w:tc>
          <w:tcPr>
            <w:tcW w:w="1559" w:type="dxa"/>
            <w:tcBorders>
              <w:top w:val="single" w:sz="12" w:space="0" w:color="000000" w:themeColor="text1"/>
              <w:bottom w:val="single" w:sz="12" w:space="0" w:color="000000" w:themeColor="text1"/>
            </w:tcBorders>
            <w:shd w:val="clear" w:color="000000" w:fill="FFFFFF"/>
            <w:vAlign w:val="center"/>
            <w:hideMark/>
          </w:tcPr>
          <w:p w14:paraId="7679AB34" w14:textId="77777777" w:rsidR="009D6EBB" w:rsidRPr="00B83978" w:rsidRDefault="009D6EBB" w:rsidP="00EE2825">
            <w:pPr>
              <w:jc w:val="right"/>
              <w:rPr>
                <w:rFonts w:eastAsia="Times New Roman"/>
                <w:b/>
                <w:bCs/>
                <w:color w:val="000000"/>
                <w:lang w:eastAsia="en-US"/>
              </w:rPr>
            </w:pPr>
            <w:r w:rsidRPr="00B83978">
              <w:rPr>
                <w:rFonts w:eastAsia="Times New Roman"/>
                <w:b/>
                <w:bCs/>
                <w:color w:val="000000"/>
                <w:lang w:eastAsia="en-US"/>
              </w:rPr>
              <w:t>Income GBP</w:t>
            </w:r>
          </w:p>
        </w:tc>
        <w:tc>
          <w:tcPr>
            <w:tcW w:w="1598" w:type="dxa"/>
            <w:tcBorders>
              <w:top w:val="single" w:sz="12" w:space="0" w:color="000000" w:themeColor="text1"/>
              <w:bottom w:val="single" w:sz="12" w:space="0" w:color="000000" w:themeColor="text1"/>
            </w:tcBorders>
            <w:shd w:val="clear" w:color="000000" w:fill="FFFFFF"/>
            <w:vAlign w:val="center"/>
            <w:hideMark/>
          </w:tcPr>
          <w:p w14:paraId="34A9EE24" w14:textId="77777777" w:rsidR="009D6EBB" w:rsidRPr="00B83978" w:rsidRDefault="009D6EBB" w:rsidP="00EE2825">
            <w:pPr>
              <w:jc w:val="right"/>
              <w:rPr>
                <w:rFonts w:eastAsia="Times New Roman"/>
                <w:b/>
                <w:bCs/>
                <w:color w:val="000000"/>
                <w:lang w:eastAsia="en-US"/>
              </w:rPr>
            </w:pPr>
            <w:r w:rsidRPr="00B83978">
              <w:rPr>
                <w:rFonts w:eastAsia="Times New Roman"/>
                <w:b/>
                <w:bCs/>
                <w:color w:val="000000"/>
                <w:lang w:eastAsia="en-US"/>
              </w:rPr>
              <w:t>Income USD</w:t>
            </w:r>
          </w:p>
        </w:tc>
        <w:tc>
          <w:tcPr>
            <w:tcW w:w="1300" w:type="dxa"/>
            <w:tcBorders>
              <w:top w:val="single" w:sz="12" w:space="0" w:color="000000" w:themeColor="text1"/>
              <w:bottom w:val="single" w:sz="12" w:space="0" w:color="000000" w:themeColor="text1"/>
            </w:tcBorders>
            <w:shd w:val="clear" w:color="000000" w:fill="FFFFFF"/>
            <w:vAlign w:val="center"/>
            <w:hideMark/>
          </w:tcPr>
          <w:p w14:paraId="7621A57B" w14:textId="77777777" w:rsidR="009D6EBB" w:rsidRPr="00B83978" w:rsidRDefault="009D6EBB" w:rsidP="009D6EBB">
            <w:pPr>
              <w:rPr>
                <w:rFonts w:eastAsia="Times New Roman"/>
                <w:b/>
                <w:bCs/>
                <w:color w:val="000000"/>
                <w:lang w:eastAsia="en-US"/>
              </w:rPr>
            </w:pPr>
            <w:r w:rsidRPr="00B83978">
              <w:rPr>
                <w:rFonts w:eastAsia="Times New Roman"/>
                <w:b/>
                <w:bCs/>
                <w:color w:val="000000"/>
                <w:lang w:eastAsia="en-US"/>
              </w:rPr>
              <w:t>Repayment</w:t>
            </w:r>
          </w:p>
        </w:tc>
      </w:tr>
      <w:tr w:rsidR="00EE2825" w:rsidRPr="009D6EBB" w14:paraId="11B1CD6B" w14:textId="77777777" w:rsidTr="00861D42">
        <w:trPr>
          <w:trHeight w:val="320"/>
        </w:trPr>
        <w:tc>
          <w:tcPr>
            <w:tcW w:w="2060" w:type="dxa"/>
            <w:tcBorders>
              <w:top w:val="single" w:sz="12" w:space="0" w:color="000000" w:themeColor="text1"/>
            </w:tcBorders>
            <w:shd w:val="clear" w:color="000000" w:fill="FFFFFF"/>
            <w:vAlign w:val="center"/>
            <w:hideMark/>
          </w:tcPr>
          <w:p w14:paraId="4E88E2E9" w14:textId="349685CD" w:rsidR="009D6EBB" w:rsidRPr="00B83978" w:rsidRDefault="00EE2825" w:rsidP="009D6EBB">
            <w:pPr>
              <w:rPr>
                <w:rFonts w:eastAsia="Times New Roman"/>
                <w:color w:val="000000"/>
                <w:lang w:eastAsia="en-US"/>
              </w:rPr>
            </w:pPr>
            <w:r w:rsidRPr="00B83978">
              <w:rPr>
                <w:rFonts w:eastAsia="Times New Roman"/>
                <w:color w:val="000000"/>
                <w:lang w:eastAsia="en-US"/>
              </w:rPr>
              <w:t xml:space="preserve">&lt; </w:t>
            </w:r>
            <w:r w:rsidR="009D6EBB" w:rsidRPr="00B83978">
              <w:rPr>
                <w:rFonts w:eastAsia="Times New Roman"/>
                <w:color w:val="000000"/>
                <w:lang w:eastAsia="en-US"/>
              </w:rPr>
              <w:t>$51,309</w:t>
            </w:r>
          </w:p>
        </w:tc>
        <w:tc>
          <w:tcPr>
            <w:tcW w:w="1783" w:type="dxa"/>
            <w:tcBorders>
              <w:top w:val="single" w:sz="12" w:space="0" w:color="000000" w:themeColor="text1"/>
            </w:tcBorders>
            <w:shd w:val="clear" w:color="000000" w:fill="FFFFFF"/>
            <w:vAlign w:val="center"/>
            <w:hideMark/>
          </w:tcPr>
          <w:p w14:paraId="7475D26B" w14:textId="12BF8D5E" w:rsidR="009D6EBB" w:rsidRPr="00B83978" w:rsidRDefault="00EE2825" w:rsidP="00EE2825">
            <w:pPr>
              <w:jc w:val="right"/>
              <w:rPr>
                <w:rFonts w:eastAsia="Times New Roman"/>
                <w:color w:val="000000"/>
                <w:lang w:eastAsia="en-US"/>
              </w:rPr>
            </w:pPr>
            <w:r w:rsidRPr="00B83978">
              <w:rPr>
                <w:rFonts w:eastAsia="Times New Roman"/>
                <w:color w:val="000000"/>
                <w:lang w:eastAsia="en-US"/>
              </w:rPr>
              <w:t>&lt;</w:t>
            </w:r>
            <w:r w:rsidR="009D6EBB" w:rsidRPr="00B83978">
              <w:rPr>
                <w:rFonts w:eastAsia="Times New Roman"/>
                <w:color w:val="000000"/>
                <w:lang w:eastAsia="en-US"/>
              </w:rPr>
              <w:t xml:space="preserve"> 51,257</w:t>
            </w:r>
          </w:p>
        </w:tc>
        <w:tc>
          <w:tcPr>
            <w:tcW w:w="1559" w:type="dxa"/>
            <w:tcBorders>
              <w:top w:val="single" w:sz="12" w:space="0" w:color="000000" w:themeColor="text1"/>
            </w:tcBorders>
            <w:shd w:val="clear" w:color="000000" w:fill="FFFFFF"/>
            <w:vAlign w:val="center"/>
            <w:hideMark/>
          </w:tcPr>
          <w:p w14:paraId="6716418A" w14:textId="45065C5B" w:rsidR="009D6EBB" w:rsidRPr="00B83978" w:rsidRDefault="00EE2825" w:rsidP="00EE2825">
            <w:pPr>
              <w:jc w:val="right"/>
              <w:rPr>
                <w:rFonts w:eastAsia="Times New Roman"/>
                <w:color w:val="000000"/>
                <w:lang w:eastAsia="en-US"/>
              </w:rPr>
            </w:pPr>
            <w:r w:rsidRPr="00B83978">
              <w:rPr>
                <w:rFonts w:eastAsia="Times New Roman"/>
                <w:color w:val="000000"/>
                <w:lang w:eastAsia="en-US"/>
              </w:rPr>
              <w:t xml:space="preserve">&lt; </w:t>
            </w:r>
            <w:r w:rsidR="009D6EBB" w:rsidRPr="00B83978">
              <w:rPr>
                <w:rFonts w:eastAsia="Times New Roman"/>
                <w:color w:val="000000"/>
                <w:lang w:eastAsia="en-US"/>
              </w:rPr>
              <w:t>27,854</w:t>
            </w:r>
          </w:p>
        </w:tc>
        <w:tc>
          <w:tcPr>
            <w:tcW w:w="1598" w:type="dxa"/>
            <w:tcBorders>
              <w:top w:val="single" w:sz="12" w:space="0" w:color="000000" w:themeColor="text1"/>
            </w:tcBorders>
            <w:shd w:val="clear" w:color="000000" w:fill="FFFFFF"/>
            <w:vAlign w:val="center"/>
            <w:hideMark/>
          </w:tcPr>
          <w:p w14:paraId="5BDD2FE9" w14:textId="6AF82786" w:rsidR="009D6EBB" w:rsidRPr="00B83978" w:rsidRDefault="00EE2825" w:rsidP="00EE2825">
            <w:pPr>
              <w:jc w:val="right"/>
              <w:rPr>
                <w:rFonts w:eastAsia="Times New Roman"/>
                <w:color w:val="000000"/>
                <w:lang w:eastAsia="en-US"/>
              </w:rPr>
            </w:pPr>
            <w:r w:rsidRPr="00B83978">
              <w:rPr>
                <w:rFonts w:eastAsia="Times New Roman"/>
                <w:color w:val="000000"/>
                <w:lang w:eastAsia="en-US"/>
              </w:rPr>
              <w:t>&lt;</w:t>
            </w:r>
            <w:r w:rsidR="009D6EBB" w:rsidRPr="00B83978">
              <w:rPr>
                <w:rFonts w:eastAsia="Times New Roman"/>
                <w:color w:val="000000"/>
                <w:lang w:eastAsia="en-US"/>
              </w:rPr>
              <w:t xml:space="preserve"> 46,637</w:t>
            </w:r>
          </w:p>
        </w:tc>
        <w:tc>
          <w:tcPr>
            <w:tcW w:w="1300" w:type="dxa"/>
            <w:tcBorders>
              <w:top w:val="single" w:sz="12" w:space="0" w:color="000000" w:themeColor="text1"/>
            </w:tcBorders>
            <w:shd w:val="clear" w:color="000000" w:fill="FFFFFF"/>
            <w:vAlign w:val="center"/>
            <w:hideMark/>
          </w:tcPr>
          <w:p w14:paraId="4F83E33F"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Nil</w:t>
            </w:r>
          </w:p>
        </w:tc>
      </w:tr>
      <w:tr w:rsidR="00EE2825" w:rsidRPr="009D6EBB" w14:paraId="35297BB5" w14:textId="77777777" w:rsidTr="00EE2825">
        <w:trPr>
          <w:trHeight w:val="320"/>
        </w:trPr>
        <w:tc>
          <w:tcPr>
            <w:tcW w:w="2060" w:type="dxa"/>
            <w:shd w:val="clear" w:color="000000" w:fill="FFFFFF"/>
            <w:vAlign w:val="center"/>
            <w:hideMark/>
          </w:tcPr>
          <w:p w14:paraId="6D223A11" w14:textId="77777777" w:rsidR="009D6EBB" w:rsidRPr="00B83978" w:rsidRDefault="009D6EBB" w:rsidP="009D6EBB">
            <w:pPr>
              <w:rPr>
                <w:rFonts w:eastAsia="Times New Roman"/>
                <w:color w:val="000000"/>
                <w:lang w:eastAsia="en-US"/>
              </w:rPr>
            </w:pPr>
            <w:r w:rsidRPr="00B83978">
              <w:rPr>
                <w:rFonts w:eastAsia="Times New Roman"/>
                <w:color w:val="000000"/>
                <w:lang w:eastAsia="en-US"/>
              </w:rPr>
              <w:t>$51,309 - $57,153</w:t>
            </w:r>
          </w:p>
        </w:tc>
        <w:tc>
          <w:tcPr>
            <w:tcW w:w="1783" w:type="dxa"/>
            <w:shd w:val="clear" w:color="000000" w:fill="FFFFFF"/>
            <w:vAlign w:val="center"/>
            <w:hideMark/>
          </w:tcPr>
          <w:p w14:paraId="551A80DB"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559" w:type="dxa"/>
            <w:shd w:val="clear" w:color="000000" w:fill="FFFFFF"/>
            <w:vAlign w:val="center"/>
            <w:hideMark/>
          </w:tcPr>
          <w:p w14:paraId="74CE33F0"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598" w:type="dxa"/>
            <w:shd w:val="clear" w:color="000000" w:fill="FFFFFF"/>
            <w:vAlign w:val="center"/>
            <w:hideMark/>
          </w:tcPr>
          <w:p w14:paraId="25AB6AFC"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300" w:type="dxa"/>
            <w:shd w:val="clear" w:color="000000" w:fill="FFFFFF"/>
            <w:vAlign w:val="center"/>
            <w:hideMark/>
          </w:tcPr>
          <w:p w14:paraId="3C34157F" w14:textId="38ED3B39" w:rsidR="009D6EBB" w:rsidRPr="00B83978" w:rsidRDefault="009D6EBB" w:rsidP="009D6EBB">
            <w:pPr>
              <w:jc w:val="right"/>
              <w:rPr>
                <w:rFonts w:eastAsia="Times New Roman"/>
                <w:color w:val="000000"/>
                <w:lang w:eastAsia="en-US"/>
              </w:rPr>
            </w:pPr>
            <w:r w:rsidRPr="00B83978">
              <w:rPr>
                <w:rFonts w:eastAsia="Times New Roman"/>
                <w:color w:val="000000"/>
                <w:lang w:eastAsia="en-US"/>
              </w:rPr>
              <w:t>4.0%</w:t>
            </w:r>
          </w:p>
        </w:tc>
      </w:tr>
      <w:tr w:rsidR="00EE2825" w:rsidRPr="009D6EBB" w14:paraId="385123AE" w14:textId="77777777" w:rsidTr="00EE2825">
        <w:trPr>
          <w:trHeight w:val="320"/>
        </w:trPr>
        <w:tc>
          <w:tcPr>
            <w:tcW w:w="2060" w:type="dxa"/>
            <w:shd w:val="clear" w:color="000000" w:fill="FFFFFF"/>
            <w:vAlign w:val="center"/>
            <w:hideMark/>
          </w:tcPr>
          <w:p w14:paraId="137BAF0A" w14:textId="77777777" w:rsidR="009D6EBB" w:rsidRPr="00B83978" w:rsidRDefault="009D6EBB" w:rsidP="009D6EBB">
            <w:pPr>
              <w:rPr>
                <w:rFonts w:eastAsia="Times New Roman"/>
                <w:color w:val="000000"/>
                <w:lang w:eastAsia="en-US"/>
              </w:rPr>
            </w:pPr>
            <w:r w:rsidRPr="00B83978">
              <w:rPr>
                <w:rFonts w:eastAsia="Times New Roman"/>
                <w:color w:val="000000"/>
                <w:lang w:eastAsia="en-US"/>
              </w:rPr>
              <w:t>$57,154 - $62,997</w:t>
            </w:r>
          </w:p>
        </w:tc>
        <w:tc>
          <w:tcPr>
            <w:tcW w:w="1783" w:type="dxa"/>
            <w:shd w:val="clear" w:color="000000" w:fill="FFFFFF"/>
            <w:vAlign w:val="center"/>
            <w:hideMark/>
          </w:tcPr>
          <w:p w14:paraId="0AF6D5C6"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559" w:type="dxa"/>
            <w:shd w:val="clear" w:color="000000" w:fill="FFFFFF"/>
            <w:vAlign w:val="center"/>
            <w:hideMark/>
          </w:tcPr>
          <w:p w14:paraId="3A73B6D1"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598" w:type="dxa"/>
            <w:shd w:val="clear" w:color="000000" w:fill="FFFFFF"/>
            <w:vAlign w:val="center"/>
            <w:hideMark/>
          </w:tcPr>
          <w:p w14:paraId="04393803"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300" w:type="dxa"/>
            <w:shd w:val="clear" w:color="000000" w:fill="FFFFFF"/>
            <w:vAlign w:val="center"/>
            <w:hideMark/>
          </w:tcPr>
          <w:p w14:paraId="22267487" w14:textId="7816301C" w:rsidR="009D6EBB" w:rsidRPr="00B83978" w:rsidRDefault="009D6EBB" w:rsidP="009D6EBB">
            <w:pPr>
              <w:jc w:val="right"/>
              <w:rPr>
                <w:rFonts w:eastAsia="Times New Roman"/>
                <w:color w:val="000000"/>
                <w:lang w:eastAsia="en-US"/>
              </w:rPr>
            </w:pPr>
            <w:r w:rsidRPr="00B83978">
              <w:rPr>
                <w:rFonts w:eastAsia="Times New Roman"/>
                <w:color w:val="000000"/>
                <w:lang w:eastAsia="en-US"/>
              </w:rPr>
              <w:t>4.5%</w:t>
            </w:r>
          </w:p>
        </w:tc>
      </w:tr>
      <w:tr w:rsidR="00EE2825" w:rsidRPr="009D6EBB" w14:paraId="2DB9347F" w14:textId="77777777" w:rsidTr="00EE2825">
        <w:trPr>
          <w:trHeight w:val="320"/>
        </w:trPr>
        <w:tc>
          <w:tcPr>
            <w:tcW w:w="2060" w:type="dxa"/>
            <w:shd w:val="clear" w:color="000000" w:fill="FFFFFF"/>
            <w:vAlign w:val="center"/>
            <w:hideMark/>
          </w:tcPr>
          <w:p w14:paraId="1BD28C60" w14:textId="77777777" w:rsidR="009D6EBB" w:rsidRPr="00B83978" w:rsidRDefault="009D6EBB" w:rsidP="009D6EBB">
            <w:pPr>
              <w:rPr>
                <w:rFonts w:eastAsia="Times New Roman"/>
                <w:color w:val="000000"/>
                <w:lang w:eastAsia="en-US"/>
              </w:rPr>
            </w:pPr>
            <w:r w:rsidRPr="00B83978">
              <w:rPr>
                <w:rFonts w:eastAsia="Times New Roman"/>
                <w:color w:val="000000"/>
                <w:lang w:eastAsia="en-US"/>
              </w:rPr>
              <w:t>$62,998 - $66,308</w:t>
            </w:r>
          </w:p>
        </w:tc>
        <w:tc>
          <w:tcPr>
            <w:tcW w:w="1783" w:type="dxa"/>
            <w:shd w:val="clear" w:color="000000" w:fill="FFFFFF"/>
            <w:vAlign w:val="center"/>
            <w:hideMark/>
          </w:tcPr>
          <w:p w14:paraId="77600142"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559" w:type="dxa"/>
            <w:shd w:val="clear" w:color="000000" w:fill="FFFFFF"/>
            <w:vAlign w:val="center"/>
            <w:hideMark/>
          </w:tcPr>
          <w:p w14:paraId="391D3EA2"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598" w:type="dxa"/>
            <w:shd w:val="clear" w:color="000000" w:fill="FFFFFF"/>
            <w:vAlign w:val="center"/>
            <w:hideMark/>
          </w:tcPr>
          <w:p w14:paraId="31F897DB"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300" w:type="dxa"/>
            <w:shd w:val="clear" w:color="000000" w:fill="FFFFFF"/>
            <w:vAlign w:val="center"/>
            <w:hideMark/>
          </w:tcPr>
          <w:p w14:paraId="28E67F95" w14:textId="77128E75" w:rsidR="009D6EBB" w:rsidRPr="00B83978" w:rsidRDefault="009D6EBB" w:rsidP="009D6EBB">
            <w:pPr>
              <w:jc w:val="right"/>
              <w:rPr>
                <w:rFonts w:eastAsia="Times New Roman"/>
                <w:color w:val="000000"/>
                <w:lang w:eastAsia="en-US"/>
              </w:rPr>
            </w:pPr>
            <w:r w:rsidRPr="00B83978">
              <w:rPr>
                <w:rFonts w:eastAsia="Times New Roman"/>
                <w:color w:val="000000"/>
                <w:lang w:eastAsia="en-US"/>
              </w:rPr>
              <w:t>5.0%</w:t>
            </w:r>
          </w:p>
        </w:tc>
      </w:tr>
      <w:tr w:rsidR="00EE2825" w:rsidRPr="009D6EBB" w14:paraId="32C315A4" w14:textId="77777777" w:rsidTr="00EE2825">
        <w:trPr>
          <w:trHeight w:val="320"/>
        </w:trPr>
        <w:tc>
          <w:tcPr>
            <w:tcW w:w="2060" w:type="dxa"/>
            <w:shd w:val="clear" w:color="000000" w:fill="FFFFFF"/>
            <w:vAlign w:val="center"/>
            <w:hideMark/>
          </w:tcPr>
          <w:p w14:paraId="351FBCE9" w14:textId="77777777" w:rsidR="009D6EBB" w:rsidRPr="00B83978" w:rsidRDefault="009D6EBB" w:rsidP="009D6EBB">
            <w:pPr>
              <w:rPr>
                <w:rFonts w:eastAsia="Times New Roman"/>
                <w:color w:val="000000"/>
                <w:lang w:eastAsia="en-US"/>
              </w:rPr>
            </w:pPr>
            <w:r w:rsidRPr="00B83978">
              <w:rPr>
                <w:rFonts w:eastAsia="Times New Roman"/>
                <w:color w:val="000000"/>
                <w:lang w:eastAsia="en-US"/>
              </w:rPr>
              <w:t>$66,309 - $71,277</w:t>
            </w:r>
          </w:p>
        </w:tc>
        <w:tc>
          <w:tcPr>
            <w:tcW w:w="1783" w:type="dxa"/>
            <w:shd w:val="clear" w:color="000000" w:fill="FFFFFF"/>
            <w:vAlign w:val="center"/>
            <w:hideMark/>
          </w:tcPr>
          <w:p w14:paraId="1D9F0925"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559" w:type="dxa"/>
            <w:shd w:val="clear" w:color="000000" w:fill="FFFFFF"/>
            <w:vAlign w:val="center"/>
            <w:hideMark/>
          </w:tcPr>
          <w:p w14:paraId="792E8364"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598" w:type="dxa"/>
            <w:shd w:val="clear" w:color="000000" w:fill="FFFFFF"/>
            <w:vAlign w:val="center"/>
            <w:hideMark/>
          </w:tcPr>
          <w:p w14:paraId="087380F4"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300" w:type="dxa"/>
            <w:shd w:val="clear" w:color="000000" w:fill="FFFFFF"/>
            <w:vAlign w:val="center"/>
            <w:hideMark/>
          </w:tcPr>
          <w:p w14:paraId="5226BA3A" w14:textId="1E24CAF5" w:rsidR="009D6EBB" w:rsidRPr="00B83978" w:rsidRDefault="009D6EBB" w:rsidP="009D6EBB">
            <w:pPr>
              <w:jc w:val="right"/>
              <w:rPr>
                <w:rFonts w:eastAsia="Times New Roman"/>
                <w:color w:val="000000"/>
                <w:lang w:eastAsia="en-US"/>
              </w:rPr>
            </w:pPr>
            <w:r w:rsidRPr="00B83978">
              <w:rPr>
                <w:rFonts w:eastAsia="Times New Roman"/>
                <w:color w:val="000000"/>
                <w:lang w:eastAsia="en-US"/>
              </w:rPr>
              <w:t>5.5%</w:t>
            </w:r>
          </w:p>
        </w:tc>
      </w:tr>
      <w:tr w:rsidR="00EE2825" w:rsidRPr="009D6EBB" w14:paraId="55C56A4C" w14:textId="77777777" w:rsidTr="00EE2825">
        <w:trPr>
          <w:trHeight w:val="320"/>
        </w:trPr>
        <w:tc>
          <w:tcPr>
            <w:tcW w:w="2060" w:type="dxa"/>
            <w:shd w:val="clear" w:color="000000" w:fill="FFFFFF"/>
            <w:vAlign w:val="center"/>
            <w:hideMark/>
          </w:tcPr>
          <w:p w14:paraId="012214DD" w14:textId="77777777" w:rsidR="009D6EBB" w:rsidRPr="00B83978" w:rsidRDefault="009D6EBB" w:rsidP="009D6EBB">
            <w:pPr>
              <w:rPr>
                <w:rFonts w:eastAsia="Times New Roman"/>
                <w:color w:val="000000"/>
                <w:lang w:eastAsia="en-US"/>
              </w:rPr>
            </w:pPr>
            <w:r w:rsidRPr="00B83978">
              <w:rPr>
                <w:rFonts w:eastAsia="Times New Roman"/>
                <w:color w:val="000000"/>
                <w:lang w:eastAsia="en-US"/>
              </w:rPr>
              <w:t>$71,278 - $77,194</w:t>
            </w:r>
          </w:p>
        </w:tc>
        <w:tc>
          <w:tcPr>
            <w:tcW w:w="1783" w:type="dxa"/>
            <w:shd w:val="clear" w:color="000000" w:fill="FFFFFF"/>
            <w:vAlign w:val="center"/>
            <w:hideMark/>
          </w:tcPr>
          <w:p w14:paraId="1387256D"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559" w:type="dxa"/>
            <w:shd w:val="clear" w:color="000000" w:fill="FFFFFF"/>
            <w:vAlign w:val="center"/>
            <w:hideMark/>
          </w:tcPr>
          <w:p w14:paraId="42B3707C"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598" w:type="dxa"/>
            <w:shd w:val="clear" w:color="000000" w:fill="FFFFFF"/>
            <w:vAlign w:val="center"/>
            <w:hideMark/>
          </w:tcPr>
          <w:p w14:paraId="78EF18A0"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300" w:type="dxa"/>
            <w:shd w:val="clear" w:color="000000" w:fill="FFFFFF"/>
            <w:vAlign w:val="center"/>
            <w:hideMark/>
          </w:tcPr>
          <w:p w14:paraId="0790B6E7" w14:textId="5D06EE84" w:rsidR="009D6EBB" w:rsidRPr="00B83978" w:rsidRDefault="009D6EBB" w:rsidP="009D6EBB">
            <w:pPr>
              <w:jc w:val="right"/>
              <w:rPr>
                <w:rFonts w:eastAsia="Times New Roman"/>
                <w:color w:val="000000"/>
                <w:lang w:eastAsia="en-US"/>
              </w:rPr>
            </w:pPr>
            <w:r w:rsidRPr="00B83978">
              <w:rPr>
                <w:rFonts w:eastAsia="Times New Roman"/>
                <w:color w:val="000000"/>
                <w:lang w:eastAsia="en-US"/>
              </w:rPr>
              <w:t>6.0%</w:t>
            </w:r>
          </w:p>
        </w:tc>
      </w:tr>
      <w:tr w:rsidR="00EE2825" w:rsidRPr="009D6EBB" w14:paraId="2095CE7B" w14:textId="77777777" w:rsidTr="00EE2825">
        <w:trPr>
          <w:trHeight w:val="320"/>
        </w:trPr>
        <w:tc>
          <w:tcPr>
            <w:tcW w:w="2060" w:type="dxa"/>
            <w:shd w:val="clear" w:color="000000" w:fill="FFFFFF"/>
            <w:vAlign w:val="center"/>
            <w:hideMark/>
          </w:tcPr>
          <w:p w14:paraId="118BD029" w14:textId="77777777" w:rsidR="009D6EBB" w:rsidRPr="00B83978" w:rsidRDefault="009D6EBB" w:rsidP="009D6EBB">
            <w:pPr>
              <w:rPr>
                <w:rFonts w:eastAsia="Times New Roman"/>
                <w:color w:val="000000"/>
                <w:lang w:eastAsia="en-US"/>
              </w:rPr>
            </w:pPr>
            <w:r w:rsidRPr="00B83978">
              <w:rPr>
                <w:rFonts w:eastAsia="Times New Roman"/>
                <w:color w:val="000000"/>
                <w:lang w:eastAsia="en-US"/>
              </w:rPr>
              <w:t>$77,195 - $81,256</w:t>
            </w:r>
          </w:p>
        </w:tc>
        <w:tc>
          <w:tcPr>
            <w:tcW w:w="1783" w:type="dxa"/>
            <w:shd w:val="clear" w:color="000000" w:fill="FFFFFF"/>
            <w:vAlign w:val="center"/>
            <w:hideMark/>
          </w:tcPr>
          <w:p w14:paraId="3BBD739C"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559" w:type="dxa"/>
            <w:shd w:val="clear" w:color="000000" w:fill="FFFFFF"/>
            <w:vAlign w:val="center"/>
            <w:hideMark/>
          </w:tcPr>
          <w:p w14:paraId="6E0902C8"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598" w:type="dxa"/>
            <w:shd w:val="clear" w:color="000000" w:fill="FFFFFF"/>
            <w:vAlign w:val="center"/>
            <w:hideMark/>
          </w:tcPr>
          <w:p w14:paraId="6ABCAE10"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300" w:type="dxa"/>
            <w:shd w:val="clear" w:color="000000" w:fill="FFFFFF"/>
            <w:vAlign w:val="center"/>
            <w:hideMark/>
          </w:tcPr>
          <w:p w14:paraId="636E7BF2" w14:textId="0AE9D7B4" w:rsidR="009D6EBB" w:rsidRPr="00B83978" w:rsidRDefault="009D6EBB" w:rsidP="009D6EBB">
            <w:pPr>
              <w:jc w:val="right"/>
              <w:rPr>
                <w:rFonts w:eastAsia="Times New Roman"/>
                <w:color w:val="000000"/>
                <w:lang w:eastAsia="en-US"/>
              </w:rPr>
            </w:pPr>
            <w:r w:rsidRPr="00B83978">
              <w:rPr>
                <w:rFonts w:eastAsia="Times New Roman"/>
                <w:color w:val="000000"/>
                <w:lang w:eastAsia="en-US"/>
              </w:rPr>
              <w:t>6.5%</w:t>
            </w:r>
          </w:p>
        </w:tc>
      </w:tr>
      <w:tr w:rsidR="00EE2825" w:rsidRPr="009D6EBB" w14:paraId="3A398489" w14:textId="77777777" w:rsidTr="00EE2825">
        <w:trPr>
          <w:trHeight w:val="320"/>
        </w:trPr>
        <w:tc>
          <w:tcPr>
            <w:tcW w:w="2060" w:type="dxa"/>
            <w:shd w:val="clear" w:color="000000" w:fill="FFFFFF"/>
            <w:vAlign w:val="center"/>
            <w:hideMark/>
          </w:tcPr>
          <w:p w14:paraId="2E1EF6D0" w14:textId="77777777" w:rsidR="009D6EBB" w:rsidRPr="00B83978" w:rsidRDefault="009D6EBB" w:rsidP="009D6EBB">
            <w:pPr>
              <w:rPr>
                <w:rFonts w:eastAsia="Times New Roman"/>
                <w:color w:val="000000"/>
                <w:lang w:eastAsia="en-US"/>
              </w:rPr>
            </w:pPr>
            <w:r w:rsidRPr="00B83978">
              <w:rPr>
                <w:rFonts w:eastAsia="Times New Roman"/>
                <w:color w:val="000000"/>
                <w:lang w:eastAsia="en-US"/>
              </w:rPr>
              <w:t>$81,257 - $89,421</w:t>
            </w:r>
          </w:p>
        </w:tc>
        <w:tc>
          <w:tcPr>
            <w:tcW w:w="1783" w:type="dxa"/>
            <w:shd w:val="clear" w:color="000000" w:fill="FFFFFF"/>
            <w:vAlign w:val="center"/>
            <w:hideMark/>
          </w:tcPr>
          <w:p w14:paraId="74EF50E4"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559" w:type="dxa"/>
            <w:shd w:val="clear" w:color="000000" w:fill="FFFFFF"/>
            <w:vAlign w:val="center"/>
            <w:hideMark/>
          </w:tcPr>
          <w:p w14:paraId="1BFF3809"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598" w:type="dxa"/>
            <w:shd w:val="clear" w:color="000000" w:fill="FFFFFF"/>
            <w:vAlign w:val="center"/>
            <w:hideMark/>
          </w:tcPr>
          <w:p w14:paraId="291578D4"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300" w:type="dxa"/>
            <w:shd w:val="clear" w:color="000000" w:fill="FFFFFF"/>
            <w:vAlign w:val="center"/>
            <w:hideMark/>
          </w:tcPr>
          <w:p w14:paraId="37C92266" w14:textId="79606DBB" w:rsidR="009D6EBB" w:rsidRPr="00B83978" w:rsidRDefault="009D6EBB" w:rsidP="009D6EBB">
            <w:pPr>
              <w:jc w:val="right"/>
              <w:rPr>
                <w:rFonts w:eastAsia="Times New Roman"/>
                <w:color w:val="000000"/>
                <w:lang w:eastAsia="en-US"/>
              </w:rPr>
            </w:pPr>
            <w:r w:rsidRPr="00B83978">
              <w:rPr>
                <w:rFonts w:eastAsia="Times New Roman"/>
                <w:color w:val="000000"/>
                <w:lang w:eastAsia="en-US"/>
              </w:rPr>
              <w:t>7.0%</w:t>
            </w:r>
          </w:p>
        </w:tc>
      </w:tr>
      <w:tr w:rsidR="00EE2825" w:rsidRPr="009D6EBB" w14:paraId="7A27DA5C" w14:textId="77777777" w:rsidTr="00861D42">
        <w:trPr>
          <w:trHeight w:val="320"/>
        </w:trPr>
        <w:tc>
          <w:tcPr>
            <w:tcW w:w="2060" w:type="dxa"/>
            <w:tcBorders>
              <w:bottom w:val="single" w:sz="4" w:space="0" w:color="000000" w:themeColor="text1"/>
            </w:tcBorders>
            <w:shd w:val="clear" w:color="000000" w:fill="FFFFFF"/>
            <w:vAlign w:val="center"/>
            <w:hideMark/>
          </w:tcPr>
          <w:p w14:paraId="4B9E61AC" w14:textId="77777777" w:rsidR="009D6EBB" w:rsidRPr="00B83978" w:rsidRDefault="009D6EBB" w:rsidP="009D6EBB">
            <w:pPr>
              <w:rPr>
                <w:rFonts w:eastAsia="Times New Roman"/>
                <w:color w:val="000000"/>
                <w:lang w:eastAsia="en-US"/>
              </w:rPr>
            </w:pPr>
            <w:r w:rsidRPr="00B83978">
              <w:rPr>
                <w:rFonts w:eastAsia="Times New Roman"/>
                <w:color w:val="000000"/>
                <w:lang w:eastAsia="en-US"/>
              </w:rPr>
              <w:t>$89,422 - $95,287</w:t>
            </w:r>
          </w:p>
        </w:tc>
        <w:tc>
          <w:tcPr>
            <w:tcW w:w="1783" w:type="dxa"/>
            <w:tcBorders>
              <w:bottom w:val="single" w:sz="4" w:space="0" w:color="000000" w:themeColor="text1"/>
            </w:tcBorders>
            <w:shd w:val="clear" w:color="000000" w:fill="FFFFFF"/>
            <w:vAlign w:val="center"/>
            <w:hideMark/>
          </w:tcPr>
          <w:p w14:paraId="1615DE86"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559" w:type="dxa"/>
            <w:tcBorders>
              <w:bottom w:val="single" w:sz="4" w:space="0" w:color="000000" w:themeColor="text1"/>
            </w:tcBorders>
            <w:shd w:val="clear" w:color="000000" w:fill="FFFFFF"/>
            <w:vAlign w:val="center"/>
            <w:hideMark/>
          </w:tcPr>
          <w:p w14:paraId="600688C1"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598" w:type="dxa"/>
            <w:tcBorders>
              <w:bottom w:val="single" w:sz="4" w:space="0" w:color="000000" w:themeColor="text1"/>
            </w:tcBorders>
            <w:shd w:val="clear" w:color="000000" w:fill="FFFFFF"/>
            <w:vAlign w:val="center"/>
            <w:hideMark/>
          </w:tcPr>
          <w:p w14:paraId="75B9384A" w14:textId="77777777" w:rsidR="009D6EBB" w:rsidRPr="00B83978" w:rsidRDefault="009D6EBB" w:rsidP="00EE2825">
            <w:pPr>
              <w:jc w:val="right"/>
              <w:rPr>
                <w:rFonts w:eastAsia="Times New Roman"/>
                <w:color w:val="000000"/>
                <w:lang w:eastAsia="en-US"/>
              </w:rPr>
            </w:pPr>
            <w:r w:rsidRPr="00B83978">
              <w:rPr>
                <w:rFonts w:eastAsia="Times New Roman"/>
                <w:color w:val="000000"/>
                <w:lang w:eastAsia="en-US"/>
              </w:rPr>
              <w:t> </w:t>
            </w:r>
          </w:p>
        </w:tc>
        <w:tc>
          <w:tcPr>
            <w:tcW w:w="1300" w:type="dxa"/>
            <w:tcBorders>
              <w:bottom w:val="single" w:sz="4" w:space="0" w:color="000000" w:themeColor="text1"/>
            </w:tcBorders>
            <w:shd w:val="clear" w:color="000000" w:fill="FFFFFF"/>
            <w:vAlign w:val="center"/>
            <w:hideMark/>
          </w:tcPr>
          <w:p w14:paraId="5DB16977" w14:textId="61C67F8B" w:rsidR="009D6EBB" w:rsidRPr="00B83978" w:rsidRDefault="009D6EBB" w:rsidP="009D6EBB">
            <w:pPr>
              <w:jc w:val="right"/>
              <w:rPr>
                <w:rFonts w:eastAsia="Times New Roman"/>
                <w:color w:val="000000"/>
                <w:lang w:eastAsia="en-US"/>
              </w:rPr>
            </w:pPr>
            <w:r w:rsidRPr="00B83978">
              <w:rPr>
                <w:rFonts w:eastAsia="Times New Roman"/>
                <w:color w:val="000000"/>
                <w:lang w:eastAsia="en-US"/>
              </w:rPr>
              <w:t>7.5%</w:t>
            </w:r>
          </w:p>
        </w:tc>
      </w:tr>
      <w:tr w:rsidR="00EE2825" w:rsidRPr="009D6EBB" w14:paraId="6B7019B7" w14:textId="77777777" w:rsidTr="00861D42">
        <w:trPr>
          <w:trHeight w:val="320"/>
        </w:trPr>
        <w:tc>
          <w:tcPr>
            <w:tcW w:w="2060" w:type="dxa"/>
            <w:tcBorders>
              <w:bottom w:val="single" w:sz="12" w:space="0" w:color="000000" w:themeColor="text1"/>
            </w:tcBorders>
            <w:shd w:val="clear" w:color="000000" w:fill="FFFFFF"/>
            <w:vAlign w:val="center"/>
            <w:hideMark/>
          </w:tcPr>
          <w:p w14:paraId="65F0FD58" w14:textId="60FF4D9F" w:rsidR="009D6EBB" w:rsidRPr="00B83978" w:rsidRDefault="009D6EBB" w:rsidP="009D6EBB">
            <w:pPr>
              <w:rPr>
                <w:rFonts w:eastAsia="Times New Roman"/>
                <w:color w:val="000000"/>
                <w:lang w:eastAsia="en-US"/>
              </w:rPr>
            </w:pPr>
            <w:r w:rsidRPr="00B83978">
              <w:rPr>
                <w:rFonts w:eastAsia="Times New Roman"/>
                <w:color w:val="000000"/>
                <w:lang w:eastAsia="en-US"/>
              </w:rPr>
              <w:t xml:space="preserve">&gt; </w:t>
            </w:r>
            <w:r w:rsidR="00EE2825" w:rsidRPr="00B83978">
              <w:rPr>
                <w:rFonts w:eastAsia="Times New Roman"/>
                <w:color w:val="000000"/>
                <w:lang w:eastAsia="en-US"/>
              </w:rPr>
              <w:t>$95,287</w:t>
            </w:r>
          </w:p>
        </w:tc>
        <w:tc>
          <w:tcPr>
            <w:tcW w:w="1783" w:type="dxa"/>
            <w:tcBorders>
              <w:bottom w:val="single" w:sz="12" w:space="0" w:color="000000" w:themeColor="text1"/>
            </w:tcBorders>
            <w:shd w:val="clear" w:color="000000" w:fill="FFFFFF"/>
            <w:vAlign w:val="center"/>
            <w:hideMark/>
          </w:tcPr>
          <w:p w14:paraId="693417F8" w14:textId="4F6FF865" w:rsidR="009D6EBB" w:rsidRPr="00B83978" w:rsidRDefault="00EE2825" w:rsidP="00EE2825">
            <w:pPr>
              <w:jc w:val="right"/>
              <w:rPr>
                <w:rFonts w:eastAsia="Times New Roman"/>
                <w:color w:val="000000"/>
                <w:lang w:eastAsia="en-US"/>
              </w:rPr>
            </w:pPr>
            <w:r w:rsidRPr="00B83978">
              <w:rPr>
                <w:rFonts w:eastAsia="Times New Roman"/>
                <w:color w:val="000000"/>
                <w:lang w:eastAsia="en-US"/>
              </w:rPr>
              <w:t>&gt; 95,200</w:t>
            </w:r>
          </w:p>
        </w:tc>
        <w:tc>
          <w:tcPr>
            <w:tcW w:w="1559" w:type="dxa"/>
            <w:tcBorders>
              <w:bottom w:val="single" w:sz="12" w:space="0" w:color="000000" w:themeColor="text1"/>
            </w:tcBorders>
            <w:shd w:val="clear" w:color="000000" w:fill="FFFFFF"/>
            <w:vAlign w:val="center"/>
            <w:hideMark/>
          </w:tcPr>
          <w:p w14:paraId="0E8880BB" w14:textId="7D757EA9" w:rsidR="009D6EBB" w:rsidRPr="00B83978" w:rsidRDefault="00EE2825" w:rsidP="00EE2825">
            <w:pPr>
              <w:jc w:val="right"/>
              <w:rPr>
                <w:rFonts w:eastAsia="Times New Roman"/>
                <w:color w:val="000000"/>
                <w:lang w:eastAsia="en-US"/>
              </w:rPr>
            </w:pPr>
            <w:r w:rsidRPr="00B83978">
              <w:rPr>
                <w:rFonts w:eastAsia="Times New Roman"/>
                <w:color w:val="000000"/>
                <w:lang w:eastAsia="en-US"/>
              </w:rPr>
              <w:t xml:space="preserve">&gt; </w:t>
            </w:r>
            <w:r w:rsidR="009D6EBB" w:rsidRPr="00B83978">
              <w:rPr>
                <w:rFonts w:eastAsia="Times New Roman"/>
                <w:color w:val="000000"/>
                <w:lang w:eastAsia="en-US"/>
              </w:rPr>
              <w:t>51,73</w:t>
            </w:r>
            <w:r w:rsidRPr="00B83978">
              <w:rPr>
                <w:rFonts w:eastAsia="Times New Roman"/>
                <w:color w:val="000000"/>
                <w:lang w:eastAsia="en-US"/>
              </w:rPr>
              <w:t>2</w:t>
            </w:r>
          </w:p>
        </w:tc>
        <w:tc>
          <w:tcPr>
            <w:tcW w:w="1598" w:type="dxa"/>
            <w:tcBorders>
              <w:bottom w:val="single" w:sz="12" w:space="0" w:color="000000" w:themeColor="text1"/>
            </w:tcBorders>
            <w:shd w:val="clear" w:color="000000" w:fill="FFFFFF"/>
            <w:vAlign w:val="center"/>
            <w:hideMark/>
          </w:tcPr>
          <w:p w14:paraId="25BF2E2C" w14:textId="104A04F3" w:rsidR="009D6EBB" w:rsidRPr="00B83978" w:rsidRDefault="00EE2825" w:rsidP="00EE2825">
            <w:pPr>
              <w:jc w:val="right"/>
              <w:rPr>
                <w:rFonts w:eastAsia="Times New Roman"/>
                <w:color w:val="000000"/>
                <w:lang w:eastAsia="en-US"/>
              </w:rPr>
            </w:pPr>
            <w:r w:rsidRPr="00B83978">
              <w:rPr>
                <w:rFonts w:eastAsia="Times New Roman"/>
                <w:color w:val="000000"/>
                <w:lang w:eastAsia="en-US"/>
              </w:rPr>
              <w:t xml:space="preserve">&gt; </w:t>
            </w:r>
            <w:r w:rsidR="009D6EBB" w:rsidRPr="00B83978">
              <w:rPr>
                <w:rFonts w:eastAsia="Times New Roman"/>
                <w:color w:val="000000"/>
                <w:lang w:eastAsia="en-US"/>
              </w:rPr>
              <w:t>86,61</w:t>
            </w:r>
            <w:r w:rsidRPr="00B83978">
              <w:rPr>
                <w:rFonts w:eastAsia="Times New Roman"/>
                <w:color w:val="000000"/>
                <w:lang w:eastAsia="en-US"/>
              </w:rPr>
              <w:t>8</w:t>
            </w:r>
          </w:p>
        </w:tc>
        <w:tc>
          <w:tcPr>
            <w:tcW w:w="1300" w:type="dxa"/>
            <w:tcBorders>
              <w:bottom w:val="single" w:sz="12" w:space="0" w:color="000000" w:themeColor="text1"/>
            </w:tcBorders>
            <w:shd w:val="clear" w:color="000000" w:fill="FFFFFF"/>
            <w:vAlign w:val="center"/>
            <w:hideMark/>
          </w:tcPr>
          <w:p w14:paraId="325B1637" w14:textId="0B615867" w:rsidR="009D6EBB" w:rsidRPr="00B83978" w:rsidRDefault="009D6EBB" w:rsidP="009D6EBB">
            <w:pPr>
              <w:jc w:val="right"/>
              <w:rPr>
                <w:rFonts w:eastAsia="Times New Roman"/>
                <w:color w:val="000000"/>
                <w:lang w:eastAsia="en-US"/>
              </w:rPr>
            </w:pPr>
            <w:r w:rsidRPr="00B83978">
              <w:rPr>
                <w:rFonts w:eastAsia="Times New Roman"/>
                <w:color w:val="000000"/>
                <w:lang w:eastAsia="en-US"/>
              </w:rPr>
              <w:t>8.0%</w:t>
            </w:r>
          </w:p>
        </w:tc>
      </w:tr>
    </w:tbl>
    <w:p w14:paraId="63366666" w14:textId="77777777" w:rsidR="009D6EBB" w:rsidRDefault="009D6EBB" w:rsidP="000B7299">
      <w:pPr>
        <w:pStyle w:val="Default"/>
        <w:rPr>
          <w:rStyle w:val="A3"/>
          <w:rFonts w:ascii="Times New Roman" w:hAnsi="Times New Roman" w:cs="Times New Roman"/>
          <w:b w:val="0"/>
          <w:sz w:val="24"/>
          <w:szCs w:val="24"/>
        </w:rPr>
      </w:pPr>
    </w:p>
    <w:p w14:paraId="39034354" w14:textId="5CA89D5E" w:rsidR="009D6EBB" w:rsidRDefault="00861D42" w:rsidP="000B7299">
      <w:pPr>
        <w:pStyle w:val="Default"/>
        <w:rPr>
          <w:rStyle w:val="A3"/>
          <w:rFonts w:ascii="Times New Roman" w:hAnsi="Times New Roman" w:cs="Times New Roman"/>
          <w:b w:val="0"/>
          <w:sz w:val="24"/>
          <w:szCs w:val="24"/>
        </w:rPr>
      </w:pPr>
      <w:r>
        <w:rPr>
          <w:rStyle w:val="A3"/>
          <w:rFonts w:ascii="Times New Roman" w:hAnsi="Times New Roman" w:cs="Times New Roman"/>
          <w:b w:val="0"/>
          <w:sz w:val="24"/>
          <w:szCs w:val="24"/>
        </w:rPr>
        <w:t>Source: Australian Taxation Office (2013)</w:t>
      </w:r>
    </w:p>
    <w:p w14:paraId="5657562C" w14:textId="77777777" w:rsidR="00F64944" w:rsidRDefault="00F64944" w:rsidP="000B7299">
      <w:pPr>
        <w:pStyle w:val="Default"/>
        <w:rPr>
          <w:rStyle w:val="A3"/>
          <w:rFonts w:ascii="Times New Roman" w:hAnsi="Times New Roman" w:cs="Times New Roman"/>
          <w:b w:val="0"/>
          <w:sz w:val="24"/>
          <w:szCs w:val="24"/>
        </w:rPr>
      </w:pPr>
    </w:p>
    <w:p w14:paraId="7B0079AD" w14:textId="77777777" w:rsidR="007D318B" w:rsidRDefault="007D318B" w:rsidP="000B7299">
      <w:pPr>
        <w:pStyle w:val="Default"/>
        <w:rPr>
          <w:rStyle w:val="A3"/>
          <w:rFonts w:ascii="Times New Roman" w:hAnsi="Times New Roman" w:cs="Times New Roman"/>
          <w:b w:val="0"/>
          <w:sz w:val="24"/>
          <w:szCs w:val="24"/>
        </w:rPr>
      </w:pPr>
    </w:p>
    <w:p w14:paraId="6F912705" w14:textId="77777777" w:rsidR="007D318B" w:rsidRDefault="007D318B" w:rsidP="000B7299">
      <w:pPr>
        <w:pStyle w:val="Default"/>
        <w:rPr>
          <w:rStyle w:val="A3"/>
          <w:rFonts w:ascii="Times New Roman" w:hAnsi="Times New Roman" w:cs="Times New Roman"/>
          <w:b w:val="0"/>
          <w:sz w:val="24"/>
          <w:szCs w:val="24"/>
        </w:rPr>
      </w:pPr>
    </w:p>
    <w:p w14:paraId="4435CA66" w14:textId="77232A79" w:rsidR="001D3061" w:rsidRDefault="001D3061" w:rsidP="000B7299">
      <w:pPr>
        <w:pStyle w:val="Default"/>
        <w:rPr>
          <w:rStyle w:val="A3"/>
          <w:rFonts w:ascii="Times New Roman" w:hAnsi="Times New Roman" w:cs="Times New Roman"/>
          <w:b w:val="0"/>
          <w:sz w:val="24"/>
          <w:szCs w:val="24"/>
        </w:rPr>
      </w:pPr>
      <w:r>
        <w:rPr>
          <w:rStyle w:val="A3"/>
          <w:rFonts w:ascii="Times New Roman" w:hAnsi="Times New Roman" w:cs="Times New Roman"/>
          <w:b w:val="0"/>
          <w:sz w:val="24"/>
          <w:szCs w:val="24"/>
        </w:rPr>
        <w:t>The Australian government provides grants towards living expenses to all students enrolled at all approved institutions. The conditions are the same as the unemployment benefit: they are heavily means tested, amounts vary according to (parents’) income and even maximum amounts are very low. About a third of students receive some income support.</w:t>
      </w:r>
    </w:p>
    <w:p w14:paraId="6F91AE8C" w14:textId="77777777" w:rsidR="00F64944" w:rsidRPr="00F64944" w:rsidRDefault="00F64944" w:rsidP="000B7299">
      <w:pPr>
        <w:pStyle w:val="Default"/>
        <w:rPr>
          <w:rStyle w:val="A3"/>
          <w:rFonts w:ascii="Times New Roman" w:hAnsi="Times New Roman" w:cs="Times New Roman"/>
          <w:b w:val="0"/>
          <w:sz w:val="24"/>
          <w:szCs w:val="24"/>
        </w:rPr>
      </w:pPr>
    </w:p>
    <w:p w14:paraId="6CB3EBD5" w14:textId="30EF2D95" w:rsidR="000B7299" w:rsidRPr="00305983" w:rsidRDefault="00FD6EA2" w:rsidP="000B7299">
      <w:pPr>
        <w:pStyle w:val="Heading1"/>
        <w:spacing w:before="0" w:after="0"/>
        <w:rPr>
          <w:rFonts w:ascii="Times New Roman" w:hAnsi="Times New Roman" w:cs="Times New Roman"/>
          <w:sz w:val="24"/>
          <w:szCs w:val="24"/>
        </w:rPr>
      </w:pPr>
      <w:r>
        <w:rPr>
          <w:rFonts w:ascii="Times New Roman" w:hAnsi="Times New Roman" w:cs="Times New Roman"/>
          <w:sz w:val="24"/>
          <w:szCs w:val="24"/>
        </w:rPr>
        <w:t>I</w:t>
      </w:r>
      <w:r w:rsidR="000B7299" w:rsidRPr="00305983">
        <w:rPr>
          <w:rFonts w:ascii="Times New Roman" w:hAnsi="Times New Roman" w:cs="Times New Roman"/>
          <w:sz w:val="24"/>
          <w:szCs w:val="24"/>
        </w:rPr>
        <w:t>nstitutions</w:t>
      </w:r>
    </w:p>
    <w:p w14:paraId="4D6B3DFE" w14:textId="77777777" w:rsidR="000B7299" w:rsidRDefault="000B7299" w:rsidP="000B7299">
      <w:pPr>
        <w:pStyle w:val="Default"/>
        <w:rPr>
          <w:rStyle w:val="A3"/>
          <w:rFonts w:ascii="Times New Roman" w:hAnsi="Times New Roman" w:cs="Times New Roman"/>
          <w:b w:val="0"/>
          <w:sz w:val="24"/>
          <w:szCs w:val="24"/>
        </w:rPr>
      </w:pPr>
    </w:p>
    <w:p w14:paraId="213D7137" w14:textId="462A9976" w:rsidR="00A318EE" w:rsidRDefault="00A318EE" w:rsidP="000B7299">
      <w:pPr>
        <w:pStyle w:val="Default"/>
        <w:rPr>
          <w:rStyle w:val="A3"/>
          <w:rFonts w:ascii="Times New Roman" w:hAnsi="Times New Roman" w:cs="Times New Roman"/>
          <w:b w:val="0"/>
          <w:sz w:val="24"/>
          <w:szCs w:val="24"/>
        </w:rPr>
      </w:pPr>
      <w:r>
        <w:rPr>
          <w:rStyle w:val="A3"/>
          <w:rFonts w:ascii="Times New Roman" w:hAnsi="Times New Roman" w:cs="Times New Roman"/>
          <w:b w:val="0"/>
          <w:sz w:val="24"/>
          <w:szCs w:val="24"/>
        </w:rPr>
        <w:t>Next the paper considers institutions in each jurisdiction.</w:t>
      </w:r>
    </w:p>
    <w:p w14:paraId="26361D9B" w14:textId="77777777" w:rsidR="000B7299" w:rsidRDefault="000B7299" w:rsidP="000B7299">
      <w:pPr>
        <w:pStyle w:val="Default"/>
        <w:rPr>
          <w:rStyle w:val="A3"/>
          <w:rFonts w:ascii="Times New Roman" w:hAnsi="Times New Roman" w:cs="Times New Roman"/>
          <w:b w:val="0"/>
          <w:sz w:val="24"/>
          <w:szCs w:val="24"/>
        </w:rPr>
      </w:pPr>
    </w:p>
    <w:p w14:paraId="051A7F1B" w14:textId="77777777" w:rsidR="000B7299" w:rsidRPr="009F0EC3" w:rsidRDefault="000B7299" w:rsidP="000B7299">
      <w:pPr>
        <w:pStyle w:val="Heading2"/>
        <w:spacing w:before="0"/>
        <w:rPr>
          <w:rStyle w:val="A3"/>
          <w:rFonts w:ascii="Times New Roman" w:hAnsi="Times New Roman" w:cs="Times New Roman"/>
          <w:i/>
          <w:iCs/>
          <w:sz w:val="24"/>
          <w:szCs w:val="24"/>
        </w:rPr>
      </w:pPr>
      <w:r w:rsidRPr="009F0EC3">
        <w:rPr>
          <w:rStyle w:val="A3"/>
          <w:rFonts w:ascii="Times New Roman" w:hAnsi="Times New Roman" w:cs="Times New Roman"/>
          <w:i/>
          <w:iCs/>
          <w:sz w:val="24"/>
          <w:szCs w:val="24"/>
        </w:rPr>
        <w:t>Ontario</w:t>
      </w:r>
    </w:p>
    <w:p w14:paraId="37C8A64D" w14:textId="77777777" w:rsidR="00437C71" w:rsidRDefault="00437C71" w:rsidP="00437C71"/>
    <w:p w14:paraId="419EBB13" w14:textId="77777777" w:rsidR="00FE24C1" w:rsidRDefault="00912E6A" w:rsidP="008F59F1">
      <w:r>
        <w:t xml:space="preserve">Postsecondary education in Ontario is provided by </w:t>
      </w:r>
      <w:r w:rsidR="008F59F1">
        <w:t>22 public universities including</w:t>
      </w:r>
      <w:r>
        <w:t xml:space="preserve"> </w:t>
      </w:r>
      <w:r w:rsidR="008F59F1" w:rsidRPr="008F59F1">
        <w:t>Dominican University College</w:t>
      </w:r>
      <w:r w:rsidR="008F59F1">
        <w:t xml:space="preserve"> and</w:t>
      </w:r>
      <w:r w:rsidR="008F59F1" w:rsidRPr="008F59F1">
        <w:t xml:space="preserve"> </w:t>
      </w:r>
      <w:r w:rsidR="0096056F" w:rsidRPr="008F59F1">
        <w:t>the federally funded Royal Military College,</w:t>
      </w:r>
      <w:r w:rsidR="0096056F">
        <w:t xml:space="preserve"> </w:t>
      </w:r>
      <w:r>
        <w:t xml:space="preserve">17 private </w:t>
      </w:r>
      <w:r w:rsidR="0096056F">
        <w:t>religious universities with restrict</w:t>
      </w:r>
      <w:r w:rsidR="00FE24C1">
        <w:t>ed degree granting authority, 21</w:t>
      </w:r>
      <w:r w:rsidR="0096056F">
        <w:t xml:space="preserve"> public </w:t>
      </w:r>
      <w:r w:rsidR="0096056F" w:rsidRPr="008F59F1">
        <w:t xml:space="preserve">colleges of applied arts and technology, </w:t>
      </w:r>
      <w:r w:rsidR="00FE24C1">
        <w:t xml:space="preserve">3 </w:t>
      </w:r>
      <w:r w:rsidR="00FE24C1">
        <w:rPr>
          <w:rFonts w:eastAsia="Times New Roman"/>
          <w:color w:val="000000"/>
          <w:shd w:val="clear" w:color="auto" w:fill="FFFFFF"/>
        </w:rPr>
        <w:t>public institutes of technology and advanced l</w:t>
      </w:r>
      <w:r w:rsidR="00FE24C1" w:rsidRPr="004B4462">
        <w:rPr>
          <w:rFonts w:eastAsia="Times New Roman"/>
          <w:color w:val="000000"/>
          <w:shd w:val="clear" w:color="auto" w:fill="FFFFFF"/>
        </w:rPr>
        <w:t>earning</w:t>
      </w:r>
      <w:r w:rsidR="00FE24C1">
        <w:rPr>
          <w:rFonts w:eastAsia="Times New Roman"/>
          <w:color w:val="000000"/>
          <w:shd w:val="clear" w:color="auto" w:fill="FFFFFF"/>
        </w:rPr>
        <w:t>,</w:t>
      </w:r>
      <w:r w:rsidR="00FE24C1" w:rsidRPr="008F59F1">
        <w:t xml:space="preserve"> </w:t>
      </w:r>
      <w:r w:rsidR="0096056F" w:rsidRPr="008F59F1">
        <w:t>3 agricultural colleges affiliated with the University of Guelph, a school of</w:t>
      </w:r>
      <w:r w:rsidR="0096056F">
        <w:rPr>
          <w:color w:val="333333"/>
          <w:lang w:eastAsia="en-US"/>
        </w:rPr>
        <w:t xml:space="preserve"> horticulture, an applied health science institute, about 570 reg</w:t>
      </w:r>
      <w:r w:rsidR="008F59F1">
        <w:rPr>
          <w:color w:val="333333"/>
          <w:lang w:eastAsia="en-US"/>
        </w:rPr>
        <w:t>istered private career colleges</w:t>
      </w:r>
      <w:r w:rsidR="0096056F">
        <w:rPr>
          <w:color w:val="333333"/>
          <w:lang w:eastAsia="en-US"/>
        </w:rPr>
        <w:t xml:space="preserve"> and many more unregulated private non degree</w:t>
      </w:r>
      <w:r w:rsidR="0096056F">
        <w:rPr>
          <w:rFonts w:ascii="American Typewriter" w:hAnsi="American Typewriter" w:cs="American Typewriter"/>
          <w:color w:val="333333"/>
          <w:lang w:eastAsia="en-US"/>
        </w:rPr>
        <w:t xml:space="preserve"> </w:t>
      </w:r>
      <w:r w:rsidR="0096056F">
        <w:rPr>
          <w:color w:val="333333"/>
          <w:lang w:eastAsia="en-US"/>
        </w:rPr>
        <w:t>granting private institutions offering postsecondary education</w:t>
      </w:r>
      <w:r w:rsidR="008F59F1">
        <w:rPr>
          <w:color w:val="333333"/>
          <w:lang w:eastAsia="en-US"/>
        </w:rPr>
        <w:t xml:space="preserve"> (</w:t>
      </w:r>
      <w:r w:rsidR="008F59F1">
        <w:t>Weingarten</w:t>
      </w:r>
      <w:r w:rsidR="008F59F1" w:rsidRPr="0010305E">
        <w:t xml:space="preserve"> and Delle</w:t>
      </w:r>
      <w:r w:rsidR="008F59F1">
        <w:t xml:space="preserve">r, 2010: 8). </w:t>
      </w:r>
    </w:p>
    <w:p w14:paraId="2E1C533A" w14:textId="77777777" w:rsidR="00A318EE" w:rsidRDefault="00A318EE" w:rsidP="00740703"/>
    <w:p w14:paraId="42625A7E" w14:textId="77FBE6BB" w:rsidR="000456DD" w:rsidRDefault="00A318EE" w:rsidP="00740703">
      <w:r>
        <w:t xml:space="preserve">Ontario postsecondary public policy is dominated by the 20 standard public universities and the 24 public community colleges. </w:t>
      </w:r>
      <w:r w:rsidR="00351ED4">
        <w:fldChar w:fldCharType="begin"/>
      </w:r>
      <w:r w:rsidR="00351ED4">
        <w:instrText xml:space="preserve"> REF _Ref255743907 \h </w:instrText>
      </w:r>
      <w:r w:rsidR="00351ED4">
        <w:fldChar w:fldCharType="separate"/>
      </w:r>
      <w:r w:rsidR="00B83978">
        <w:t xml:space="preserve">Table </w:t>
      </w:r>
      <w:r w:rsidR="00B83978">
        <w:rPr>
          <w:noProof/>
        </w:rPr>
        <w:t>6</w:t>
      </w:r>
      <w:r w:rsidR="00351ED4">
        <w:fldChar w:fldCharType="end"/>
      </w:r>
      <w:r w:rsidR="00351ED4">
        <w:t xml:space="preserve"> </w:t>
      </w:r>
      <w:r w:rsidR="00FE24C1" w:rsidRPr="00740703">
        <w:t xml:space="preserve">lists Ontario’s standard universities by the rough order of status I perceive them to have. Universities’ research intensity </w:t>
      </w:r>
      <w:r w:rsidR="00274370" w:rsidRPr="00740703">
        <w:t>classification but not labels are from the Higher Education Quality Council of Ontario’s data set on university differentiation (Weingarten and colleagues, 2013: 14-</w:t>
      </w:r>
      <w:r w:rsidR="000456DD" w:rsidRPr="00740703">
        <w:t>17). University type is as ascribed by Macleans (no date), altho as Weingarten and colleagues (2013: 17) observe, the University of Ontario Institute of Technology and OCAD (Ontario College of Art and Design) University would in other jurisdictions be categorised as special purpose universities.</w:t>
      </w:r>
    </w:p>
    <w:p w14:paraId="2E92EA0C" w14:textId="77777777" w:rsidR="007D318B" w:rsidRPr="00740703" w:rsidRDefault="007D318B" w:rsidP="00AB29FF"/>
    <w:p w14:paraId="778BFFE2" w14:textId="0F1BB866" w:rsidR="00421C72" w:rsidRDefault="00351ED4" w:rsidP="00351ED4">
      <w:pPr>
        <w:jc w:val="center"/>
      </w:pPr>
      <w:bookmarkStart w:id="4" w:name="_Ref255743907"/>
      <w:r>
        <w:t xml:space="preserve">Table </w:t>
      </w:r>
      <w:fldSimple w:instr=" SEQ Table \* ARABIC ">
        <w:r w:rsidR="00B83978">
          <w:rPr>
            <w:noProof/>
          </w:rPr>
          <w:t>6</w:t>
        </w:r>
      </w:fldSimple>
      <w:bookmarkEnd w:id="4"/>
      <w:r w:rsidR="00421C72">
        <w:t>: Ontario’s universities, in rough order of status</w:t>
      </w:r>
    </w:p>
    <w:p w14:paraId="50E489C5" w14:textId="77777777" w:rsidR="00421C72" w:rsidRDefault="00421C72" w:rsidP="00AB29FF"/>
    <w:tbl>
      <w:tblPr>
        <w:tblStyle w:val="TableGrid"/>
        <w:tblW w:w="0" w:type="auto"/>
        <w:tblLook w:val="04A0" w:firstRow="1" w:lastRow="0" w:firstColumn="1" w:lastColumn="0" w:noHBand="0" w:noVBand="1"/>
      </w:tblPr>
      <w:tblGrid>
        <w:gridCol w:w="1372"/>
        <w:gridCol w:w="1535"/>
        <w:gridCol w:w="1454"/>
        <w:gridCol w:w="2126"/>
        <w:gridCol w:w="1276"/>
        <w:gridCol w:w="1559"/>
      </w:tblGrid>
      <w:tr w:rsidR="00FA134B" w:rsidRPr="00244D39" w14:paraId="3DE36BE4" w14:textId="15F11F81" w:rsidTr="007D318B">
        <w:trPr>
          <w:tblHeader/>
        </w:trPr>
        <w:tc>
          <w:tcPr>
            <w:tcW w:w="1372" w:type="dxa"/>
            <w:vMerge w:val="restart"/>
            <w:tcBorders>
              <w:top w:val="single" w:sz="12" w:space="0" w:color="auto"/>
              <w:left w:val="nil"/>
              <w:bottom w:val="single" w:sz="12" w:space="0" w:color="auto"/>
              <w:right w:val="nil"/>
            </w:tcBorders>
            <w:vAlign w:val="center"/>
          </w:tcPr>
          <w:p w14:paraId="5A257CF0" w14:textId="2162F9B0" w:rsidR="00FA134B" w:rsidRPr="00244D39" w:rsidRDefault="00FA134B" w:rsidP="00AB29FF">
            <w:pPr>
              <w:rPr>
                <w:b/>
              </w:rPr>
            </w:pPr>
            <w:r>
              <w:rPr>
                <w:b/>
              </w:rPr>
              <w:t>University</w:t>
            </w:r>
          </w:p>
        </w:tc>
        <w:tc>
          <w:tcPr>
            <w:tcW w:w="2989" w:type="dxa"/>
            <w:gridSpan w:val="2"/>
            <w:tcBorders>
              <w:top w:val="single" w:sz="12" w:space="0" w:color="auto"/>
              <w:left w:val="nil"/>
              <w:bottom w:val="single" w:sz="4" w:space="0" w:color="auto"/>
              <w:right w:val="nil"/>
            </w:tcBorders>
            <w:vAlign w:val="center"/>
          </w:tcPr>
          <w:p w14:paraId="2C042DDB" w14:textId="6AB086A1" w:rsidR="00FA134B" w:rsidRPr="00244D39" w:rsidRDefault="00FA134B" w:rsidP="00244D39">
            <w:pPr>
              <w:jc w:val="center"/>
              <w:rPr>
                <w:b/>
              </w:rPr>
            </w:pPr>
            <w:r>
              <w:rPr>
                <w:b/>
              </w:rPr>
              <w:t>Research</w:t>
            </w:r>
          </w:p>
        </w:tc>
        <w:tc>
          <w:tcPr>
            <w:tcW w:w="2126" w:type="dxa"/>
            <w:vMerge w:val="restart"/>
            <w:tcBorders>
              <w:top w:val="single" w:sz="12" w:space="0" w:color="auto"/>
              <w:left w:val="nil"/>
              <w:bottom w:val="single" w:sz="12" w:space="0" w:color="auto"/>
              <w:right w:val="nil"/>
            </w:tcBorders>
            <w:vAlign w:val="center"/>
          </w:tcPr>
          <w:p w14:paraId="324E8CC7" w14:textId="6B6C0721" w:rsidR="00FA134B" w:rsidRPr="00244D39" w:rsidRDefault="00FA134B" w:rsidP="00AB29FF">
            <w:pPr>
              <w:rPr>
                <w:b/>
              </w:rPr>
            </w:pPr>
            <w:r>
              <w:rPr>
                <w:b/>
              </w:rPr>
              <w:t>Maclean’s t</w:t>
            </w:r>
            <w:r w:rsidRPr="00244D39">
              <w:rPr>
                <w:b/>
              </w:rPr>
              <w:t>ype</w:t>
            </w:r>
          </w:p>
        </w:tc>
        <w:tc>
          <w:tcPr>
            <w:tcW w:w="1276" w:type="dxa"/>
            <w:vMerge w:val="restart"/>
            <w:tcBorders>
              <w:top w:val="single" w:sz="12" w:space="0" w:color="auto"/>
              <w:left w:val="nil"/>
              <w:bottom w:val="single" w:sz="12" w:space="0" w:color="auto"/>
              <w:right w:val="nil"/>
            </w:tcBorders>
            <w:vAlign w:val="center"/>
          </w:tcPr>
          <w:p w14:paraId="0A7B7926" w14:textId="2C67B3A1" w:rsidR="00FA134B" w:rsidRPr="00244D39" w:rsidRDefault="00FA134B" w:rsidP="009D6E64">
            <w:pPr>
              <w:jc w:val="right"/>
              <w:rPr>
                <w:b/>
              </w:rPr>
            </w:pPr>
            <w:r w:rsidRPr="00244D39">
              <w:rPr>
                <w:b/>
              </w:rPr>
              <w:t>Full time students</w:t>
            </w:r>
          </w:p>
        </w:tc>
        <w:tc>
          <w:tcPr>
            <w:tcW w:w="1559" w:type="dxa"/>
            <w:vMerge w:val="restart"/>
            <w:tcBorders>
              <w:top w:val="single" w:sz="12" w:space="0" w:color="auto"/>
              <w:left w:val="nil"/>
              <w:bottom w:val="single" w:sz="12" w:space="0" w:color="auto"/>
              <w:right w:val="nil"/>
            </w:tcBorders>
          </w:tcPr>
          <w:p w14:paraId="5E5257DA" w14:textId="39BF82F8" w:rsidR="00FA134B" w:rsidRPr="008A76CD" w:rsidRDefault="008A76CD" w:rsidP="008A76CD">
            <w:pPr>
              <w:jc w:val="right"/>
              <w:rPr>
                <w:rFonts w:ascii="Times" w:eastAsia="Times New Roman" w:hAnsi="Times"/>
                <w:b/>
                <w:sz w:val="20"/>
                <w:szCs w:val="20"/>
                <w:lang w:eastAsia="en-US"/>
              </w:rPr>
            </w:pPr>
            <w:r w:rsidRPr="008A76CD">
              <w:rPr>
                <w:b/>
              </w:rPr>
              <w:t>Census metropolitan area</w:t>
            </w:r>
          </w:p>
        </w:tc>
      </w:tr>
      <w:tr w:rsidR="00FA134B" w:rsidRPr="00244D39" w14:paraId="59121C3C" w14:textId="7EE902EB" w:rsidTr="007D318B">
        <w:trPr>
          <w:tblHeader/>
        </w:trPr>
        <w:tc>
          <w:tcPr>
            <w:tcW w:w="1372" w:type="dxa"/>
            <w:vMerge/>
            <w:tcBorders>
              <w:top w:val="single" w:sz="12" w:space="0" w:color="auto"/>
              <w:left w:val="nil"/>
              <w:bottom w:val="single" w:sz="12" w:space="0" w:color="auto"/>
              <w:right w:val="nil"/>
            </w:tcBorders>
            <w:vAlign w:val="center"/>
          </w:tcPr>
          <w:p w14:paraId="66236891" w14:textId="77777777" w:rsidR="00FA134B" w:rsidRDefault="00FA134B" w:rsidP="00AB29FF">
            <w:pPr>
              <w:rPr>
                <w:b/>
              </w:rPr>
            </w:pPr>
          </w:p>
        </w:tc>
        <w:tc>
          <w:tcPr>
            <w:tcW w:w="1535" w:type="dxa"/>
            <w:tcBorders>
              <w:top w:val="single" w:sz="4" w:space="0" w:color="auto"/>
              <w:left w:val="nil"/>
              <w:bottom w:val="single" w:sz="12" w:space="0" w:color="auto"/>
              <w:right w:val="nil"/>
            </w:tcBorders>
            <w:vAlign w:val="center"/>
          </w:tcPr>
          <w:p w14:paraId="776F691A" w14:textId="26D213E6" w:rsidR="00FA134B" w:rsidRPr="00244D39" w:rsidRDefault="00FA134B" w:rsidP="00AB29FF">
            <w:pPr>
              <w:rPr>
                <w:b/>
              </w:rPr>
            </w:pPr>
            <w:r>
              <w:rPr>
                <w:b/>
              </w:rPr>
              <w:t>Intensity</w:t>
            </w:r>
          </w:p>
        </w:tc>
        <w:tc>
          <w:tcPr>
            <w:tcW w:w="1454" w:type="dxa"/>
            <w:tcBorders>
              <w:top w:val="single" w:sz="4" w:space="0" w:color="auto"/>
              <w:left w:val="nil"/>
              <w:bottom w:val="single" w:sz="12" w:space="0" w:color="auto"/>
              <w:right w:val="nil"/>
            </w:tcBorders>
            <w:vAlign w:val="center"/>
          </w:tcPr>
          <w:p w14:paraId="081FEFE7" w14:textId="645219D2" w:rsidR="00FA134B" w:rsidRPr="00244D39" w:rsidRDefault="00FA134B" w:rsidP="009D6E64">
            <w:pPr>
              <w:jc w:val="right"/>
              <w:rPr>
                <w:b/>
              </w:rPr>
            </w:pPr>
            <w:r>
              <w:rPr>
                <w:b/>
              </w:rPr>
              <w:t>SHJT rank</w:t>
            </w:r>
          </w:p>
        </w:tc>
        <w:tc>
          <w:tcPr>
            <w:tcW w:w="2126" w:type="dxa"/>
            <w:vMerge/>
            <w:tcBorders>
              <w:top w:val="single" w:sz="12" w:space="0" w:color="auto"/>
              <w:left w:val="nil"/>
              <w:bottom w:val="single" w:sz="12" w:space="0" w:color="auto"/>
              <w:right w:val="nil"/>
            </w:tcBorders>
            <w:vAlign w:val="center"/>
          </w:tcPr>
          <w:p w14:paraId="4C43224C" w14:textId="77777777" w:rsidR="00FA134B" w:rsidRPr="00244D39" w:rsidRDefault="00FA134B" w:rsidP="00AB29FF">
            <w:pPr>
              <w:rPr>
                <w:b/>
              </w:rPr>
            </w:pPr>
          </w:p>
        </w:tc>
        <w:tc>
          <w:tcPr>
            <w:tcW w:w="1276" w:type="dxa"/>
            <w:vMerge/>
            <w:tcBorders>
              <w:top w:val="single" w:sz="12" w:space="0" w:color="auto"/>
              <w:left w:val="nil"/>
              <w:bottom w:val="single" w:sz="12" w:space="0" w:color="auto"/>
              <w:right w:val="nil"/>
            </w:tcBorders>
            <w:vAlign w:val="center"/>
          </w:tcPr>
          <w:p w14:paraId="46878BFC" w14:textId="77777777" w:rsidR="00FA134B" w:rsidRPr="00244D39" w:rsidRDefault="00FA134B" w:rsidP="009D6E64">
            <w:pPr>
              <w:jc w:val="right"/>
              <w:rPr>
                <w:b/>
              </w:rPr>
            </w:pPr>
          </w:p>
        </w:tc>
        <w:tc>
          <w:tcPr>
            <w:tcW w:w="1559" w:type="dxa"/>
            <w:vMerge/>
            <w:tcBorders>
              <w:top w:val="single" w:sz="12" w:space="0" w:color="auto"/>
              <w:left w:val="nil"/>
              <w:bottom w:val="single" w:sz="12" w:space="0" w:color="auto"/>
              <w:right w:val="nil"/>
            </w:tcBorders>
          </w:tcPr>
          <w:p w14:paraId="4C21FE29" w14:textId="77777777" w:rsidR="00FA134B" w:rsidRPr="00244D39" w:rsidRDefault="00FA134B" w:rsidP="009D6E64">
            <w:pPr>
              <w:jc w:val="right"/>
              <w:rPr>
                <w:b/>
              </w:rPr>
            </w:pPr>
          </w:p>
        </w:tc>
      </w:tr>
      <w:tr w:rsidR="00FA134B" w14:paraId="39F2D4D3" w14:textId="25BA1DCC" w:rsidTr="00A04AAA">
        <w:tc>
          <w:tcPr>
            <w:tcW w:w="1372" w:type="dxa"/>
            <w:tcBorders>
              <w:top w:val="single" w:sz="12" w:space="0" w:color="auto"/>
              <w:left w:val="nil"/>
              <w:right w:val="nil"/>
            </w:tcBorders>
            <w:vAlign w:val="center"/>
          </w:tcPr>
          <w:p w14:paraId="58AECF6F" w14:textId="7763BB22" w:rsidR="00FA134B" w:rsidRDefault="00FA134B" w:rsidP="00AB29FF">
            <w:r>
              <w:t>Toronto</w:t>
            </w:r>
          </w:p>
        </w:tc>
        <w:tc>
          <w:tcPr>
            <w:tcW w:w="1535" w:type="dxa"/>
            <w:tcBorders>
              <w:top w:val="single" w:sz="12" w:space="0" w:color="auto"/>
              <w:left w:val="nil"/>
              <w:right w:val="nil"/>
            </w:tcBorders>
            <w:vAlign w:val="center"/>
          </w:tcPr>
          <w:p w14:paraId="4558CBB6" w14:textId="189A3FF8" w:rsidR="00FA134B" w:rsidRDefault="00FA134B" w:rsidP="00AB29FF">
            <w:r>
              <w:t>Very high</w:t>
            </w:r>
          </w:p>
        </w:tc>
        <w:tc>
          <w:tcPr>
            <w:tcW w:w="1454" w:type="dxa"/>
            <w:tcBorders>
              <w:left w:val="nil"/>
              <w:right w:val="nil"/>
            </w:tcBorders>
            <w:vAlign w:val="center"/>
          </w:tcPr>
          <w:p w14:paraId="79423279" w14:textId="0E1D9196" w:rsidR="00FA134B" w:rsidRDefault="00FA134B" w:rsidP="009D6E64">
            <w:pPr>
              <w:jc w:val="right"/>
            </w:pPr>
            <w:r>
              <w:t>28</w:t>
            </w:r>
          </w:p>
        </w:tc>
        <w:tc>
          <w:tcPr>
            <w:tcW w:w="2126" w:type="dxa"/>
            <w:tcBorders>
              <w:top w:val="single" w:sz="12" w:space="0" w:color="auto"/>
              <w:left w:val="nil"/>
              <w:right w:val="nil"/>
            </w:tcBorders>
            <w:vAlign w:val="center"/>
          </w:tcPr>
          <w:p w14:paraId="7A8BDEA7" w14:textId="1129CB66" w:rsidR="00FA134B" w:rsidRDefault="00FA134B" w:rsidP="00AB29FF">
            <w:r>
              <w:t>Medical/doctoral</w:t>
            </w:r>
          </w:p>
        </w:tc>
        <w:tc>
          <w:tcPr>
            <w:tcW w:w="1276" w:type="dxa"/>
            <w:tcBorders>
              <w:top w:val="single" w:sz="12" w:space="0" w:color="auto"/>
              <w:left w:val="nil"/>
              <w:right w:val="nil"/>
            </w:tcBorders>
            <w:vAlign w:val="center"/>
          </w:tcPr>
          <w:p w14:paraId="62E9AF31" w14:textId="7E7D7185" w:rsidR="00FA134B" w:rsidRDefault="00FA134B" w:rsidP="009D6E64">
            <w:pPr>
              <w:jc w:val="right"/>
            </w:pPr>
            <w:r w:rsidRPr="009D6E64">
              <w:t>67,271</w:t>
            </w:r>
          </w:p>
        </w:tc>
        <w:tc>
          <w:tcPr>
            <w:tcW w:w="1559" w:type="dxa"/>
            <w:tcBorders>
              <w:top w:val="single" w:sz="12" w:space="0" w:color="auto"/>
              <w:left w:val="nil"/>
              <w:right w:val="nil"/>
            </w:tcBorders>
          </w:tcPr>
          <w:p w14:paraId="1DDEBB0E" w14:textId="77777777" w:rsidR="00CC2D57" w:rsidRDefault="00CC2D57" w:rsidP="009D6E64">
            <w:pPr>
              <w:jc w:val="right"/>
            </w:pPr>
            <w:r>
              <w:t>Toronto</w:t>
            </w:r>
          </w:p>
          <w:p w14:paraId="7015D76D" w14:textId="5A147716" w:rsidR="00CC2D57" w:rsidRPr="009D6E64" w:rsidRDefault="00CC2D57" w:rsidP="006B10EF">
            <w:pPr>
              <w:jc w:val="right"/>
            </w:pPr>
            <w:r>
              <w:t>5.6 million</w:t>
            </w:r>
          </w:p>
        </w:tc>
      </w:tr>
      <w:tr w:rsidR="00FA134B" w14:paraId="2D44E4A0" w14:textId="54D74DBF" w:rsidTr="005F2E44">
        <w:tc>
          <w:tcPr>
            <w:tcW w:w="1372" w:type="dxa"/>
            <w:tcBorders>
              <w:left w:val="nil"/>
              <w:right w:val="nil"/>
            </w:tcBorders>
            <w:vAlign w:val="center"/>
          </w:tcPr>
          <w:p w14:paraId="33DB7D51" w14:textId="1EA36FED" w:rsidR="00FA134B" w:rsidRDefault="00FA134B" w:rsidP="00AB29FF">
            <w:r w:rsidRPr="009D6E64">
              <w:t>McMaster</w:t>
            </w:r>
          </w:p>
        </w:tc>
        <w:tc>
          <w:tcPr>
            <w:tcW w:w="1535" w:type="dxa"/>
            <w:tcBorders>
              <w:left w:val="nil"/>
              <w:right w:val="nil"/>
            </w:tcBorders>
            <w:vAlign w:val="center"/>
          </w:tcPr>
          <w:p w14:paraId="06635E07" w14:textId="7094CB0F" w:rsidR="00FA134B" w:rsidRDefault="00FA134B" w:rsidP="00AB29FF">
            <w:r>
              <w:t>High</w:t>
            </w:r>
          </w:p>
        </w:tc>
        <w:tc>
          <w:tcPr>
            <w:tcW w:w="1454" w:type="dxa"/>
            <w:tcBorders>
              <w:left w:val="nil"/>
              <w:right w:val="nil"/>
            </w:tcBorders>
            <w:vAlign w:val="center"/>
          </w:tcPr>
          <w:p w14:paraId="76E9EBB6" w14:textId="1F66CFBB" w:rsidR="00FA134B" w:rsidRDefault="00FA134B" w:rsidP="009D6E64">
            <w:pPr>
              <w:jc w:val="right"/>
            </w:pPr>
            <w:r>
              <w:t>92</w:t>
            </w:r>
          </w:p>
        </w:tc>
        <w:tc>
          <w:tcPr>
            <w:tcW w:w="2126" w:type="dxa"/>
            <w:tcBorders>
              <w:left w:val="nil"/>
              <w:right w:val="nil"/>
            </w:tcBorders>
            <w:vAlign w:val="center"/>
          </w:tcPr>
          <w:p w14:paraId="2D1ADE9A" w14:textId="22CB2072" w:rsidR="00FA134B" w:rsidRDefault="00FA134B" w:rsidP="00AB29FF">
            <w:r>
              <w:t>Medical/doctoral</w:t>
            </w:r>
          </w:p>
        </w:tc>
        <w:tc>
          <w:tcPr>
            <w:tcW w:w="1276" w:type="dxa"/>
            <w:tcBorders>
              <w:left w:val="nil"/>
              <w:right w:val="nil"/>
            </w:tcBorders>
            <w:vAlign w:val="center"/>
          </w:tcPr>
          <w:p w14:paraId="7ADA8C4A" w14:textId="25302B25" w:rsidR="00FA134B" w:rsidRDefault="00FA134B" w:rsidP="009D6E64">
            <w:pPr>
              <w:jc w:val="right"/>
            </w:pPr>
            <w:r w:rsidRPr="009D6E64">
              <w:t>24,328</w:t>
            </w:r>
          </w:p>
        </w:tc>
        <w:tc>
          <w:tcPr>
            <w:tcW w:w="1559" w:type="dxa"/>
            <w:tcBorders>
              <w:left w:val="nil"/>
              <w:right w:val="nil"/>
            </w:tcBorders>
          </w:tcPr>
          <w:p w14:paraId="2B03CACA" w14:textId="77777777" w:rsidR="00FA134B" w:rsidRDefault="00CC2D57" w:rsidP="009D6E64">
            <w:pPr>
              <w:jc w:val="right"/>
            </w:pPr>
            <w:r>
              <w:t>Hamilton</w:t>
            </w:r>
          </w:p>
          <w:p w14:paraId="62CE6C74" w14:textId="248A0684" w:rsidR="00CC2D57" w:rsidRPr="009D6E64" w:rsidRDefault="00CC2D57" w:rsidP="009D6E64">
            <w:pPr>
              <w:jc w:val="right"/>
            </w:pPr>
            <w:r>
              <w:t>0.7 million</w:t>
            </w:r>
          </w:p>
        </w:tc>
      </w:tr>
      <w:tr w:rsidR="00CB3AC7" w14:paraId="0F93DD2E" w14:textId="77777777" w:rsidTr="003860F8">
        <w:tc>
          <w:tcPr>
            <w:tcW w:w="1372" w:type="dxa"/>
            <w:tcBorders>
              <w:left w:val="nil"/>
              <w:right w:val="nil"/>
            </w:tcBorders>
            <w:vAlign w:val="center"/>
          </w:tcPr>
          <w:p w14:paraId="757BB071" w14:textId="77777777" w:rsidR="00CB3AC7" w:rsidRDefault="00CB3AC7" w:rsidP="003860F8">
            <w:r>
              <w:t>Queen’s</w:t>
            </w:r>
          </w:p>
        </w:tc>
        <w:tc>
          <w:tcPr>
            <w:tcW w:w="1535" w:type="dxa"/>
            <w:tcBorders>
              <w:left w:val="nil"/>
              <w:right w:val="nil"/>
            </w:tcBorders>
            <w:vAlign w:val="center"/>
          </w:tcPr>
          <w:p w14:paraId="252CE314" w14:textId="77777777" w:rsidR="00CB3AC7" w:rsidRDefault="00CB3AC7" w:rsidP="003860F8">
            <w:r>
              <w:t>High</w:t>
            </w:r>
          </w:p>
        </w:tc>
        <w:tc>
          <w:tcPr>
            <w:tcW w:w="1454" w:type="dxa"/>
            <w:tcBorders>
              <w:left w:val="nil"/>
              <w:right w:val="nil"/>
            </w:tcBorders>
            <w:vAlign w:val="center"/>
          </w:tcPr>
          <w:p w14:paraId="46102BD7" w14:textId="77777777" w:rsidR="00CB3AC7" w:rsidRDefault="00CB3AC7" w:rsidP="003860F8">
            <w:pPr>
              <w:jc w:val="right"/>
            </w:pPr>
            <w:r>
              <w:t>201-300</w:t>
            </w:r>
          </w:p>
        </w:tc>
        <w:tc>
          <w:tcPr>
            <w:tcW w:w="2126" w:type="dxa"/>
            <w:tcBorders>
              <w:left w:val="nil"/>
              <w:right w:val="nil"/>
            </w:tcBorders>
            <w:vAlign w:val="center"/>
          </w:tcPr>
          <w:p w14:paraId="756EAC12" w14:textId="77777777" w:rsidR="00CB3AC7" w:rsidRDefault="00CB3AC7" w:rsidP="003860F8">
            <w:r>
              <w:t>Medical/doctoral</w:t>
            </w:r>
          </w:p>
        </w:tc>
        <w:tc>
          <w:tcPr>
            <w:tcW w:w="1276" w:type="dxa"/>
            <w:tcBorders>
              <w:left w:val="nil"/>
              <w:right w:val="nil"/>
            </w:tcBorders>
            <w:vAlign w:val="center"/>
          </w:tcPr>
          <w:p w14:paraId="31CC2DFE" w14:textId="77777777" w:rsidR="00CB3AC7" w:rsidRDefault="00CB3AC7" w:rsidP="003860F8">
            <w:pPr>
              <w:jc w:val="right"/>
            </w:pPr>
            <w:r w:rsidRPr="009D6E64">
              <w:t>19,576</w:t>
            </w:r>
          </w:p>
        </w:tc>
        <w:tc>
          <w:tcPr>
            <w:tcW w:w="1559" w:type="dxa"/>
            <w:tcBorders>
              <w:left w:val="nil"/>
              <w:right w:val="nil"/>
            </w:tcBorders>
          </w:tcPr>
          <w:p w14:paraId="010D4211" w14:textId="77777777" w:rsidR="00CB3AC7" w:rsidRDefault="00CB3AC7" w:rsidP="003860F8">
            <w:pPr>
              <w:jc w:val="right"/>
            </w:pPr>
            <w:r>
              <w:t>Kingston</w:t>
            </w:r>
          </w:p>
          <w:p w14:paraId="74AC4304" w14:textId="77777777" w:rsidR="00CB3AC7" w:rsidRPr="009D6E64" w:rsidRDefault="00CB3AC7" w:rsidP="003860F8">
            <w:pPr>
              <w:jc w:val="right"/>
            </w:pPr>
            <w:r>
              <w:t>160,000</w:t>
            </w:r>
          </w:p>
        </w:tc>
      </w:tr>
      <w:tr w:rsidR="003860F8" w14:paraId="5A8DEDA0" w14:textId="77777777" w:rsidTr="003860F8">
        <w:tc>
          <w:tcPr>
            <w:tcW w:w="1372" w:type="dxa"/>
            <w:tcBorders>
              <w:left w:val="nil"/>
              <w:right w:val="nil"/>
            </w:tcBorders>
            <w:vAlign w:val="center"/>
          </w:tcPr>
          <w:p w14:paraId="097AEA1F" w14:textId="77777777" w:rsidR="003860F8" w:rsidRDefault="003860F8" w:rsidP="003860F8">
            <w:r>
              <w:t>Ottawa</w:t>
            </w:r>
          </w:p>
        </w:tc>
        <w:tc>
          <w:tcPr>
            <w:tcW w:w="1535" w:type="dxa"/>
            <w:tcBorders>
              <w:left w:val="nil"/>
              <w:right w:val="nil"/>
            </w:tcBorders>
            <w:vAlign w:val="center"/>
          </w:tcPr>
          <w:p w14:paraId="4B745292" w14:textId="77777777" w:rsidR="003860F8" w:rsidRDefault="003860F8" w:rsidP="003860F8">
            <w:r>
              <w:t>High</w:t>
            </w:r>
          </w:p>
        </w:tc>
        <w:tc>
          <w:tcPr>
            <w:tcW w:w="1454" w:type="dxa"/>
            <w:tcBorders>
              <w:left w:val="nil"/>
              <w:right w:val="nil"/>
            </w:tcBorders>
            <w:vAlign w:val="center"/>
          </w:tcPr>
          <w:p w14:paraId="4890846E" w14:textId="77777777" w:rsidR="003860F8" w:rsidRDefault="003860F8" w:rsidP="003860F8">
            <w:pPr>
              <w:jc w:val="right"/>
            </w:pPr>
            <w:r>
              <w:t>201-300</w:t>
            </w:r>
          </w:p>
        </w:tc>
        <w:tc>
          <w:tcPr>
            <w:tcW w:w="2126" w:type="dxa"/>
            <w:tcBorders>
              <w:left w:val="nil"/>
              <w:right w:val="nil"/>
            </w:tcBorders>
            <w:vAlign w:val="center"/>
          </w:tcPr>
          <w:p w14:paraId="6B353E2F" w14:textId="77777777" w:rsidR="003860F8" w:rsidRDefault="003860F8" w:rsidP="003860F8">
            <w:r>
              <w:t>Medical/doctoral</w:t>
            </w:r>
          </w:p>
        </w:tc>
        <w:tc>
          <w:tcPr>
            <w:tcW w:w="1276" w:type="dxa"/>
            <w:tcBorders>
              <w:left w:val="nil"/>
              <w:right w:val="nil"/>
            </w:tcBorders>
            <w:vAlign w:val="center"/>
          </w:tcPr>
          <w:p w14:paraId="749F8330" w14:textId="77777777" w:rsidR="003860F8" w:rsidRDefault="003860F8" w:rsidP="003860F8">
            <w:pPr>
              <w:jc w:val="right"/>
            </w:pPr>
            <w:r w:rsidRPr="009D6E64">
              <w:t>31,789</w:t>
            </w:r>
          </w:p>
        </w:tc>
        <w:tc>
          <w:tcPr>
            <w:tcW w:w="1559" w:type="dxa"/>
            <w:tcBorders>
              <w:left w:val="nil"/>
              <w:right w:val="nil"/>
            </w:tcBorders>
          </w:tcPr>
          <w:p w14:paraId="2678BADB" w14:textId="77777777" w:rsidR="003860F8" w:rsidRDefault="003860F8" w:rsidP="003860F8">
            <w:pPr>
              <w:jc w:val="right"/>
            </w:pPr>
            <w:r>
              <w:t>Ottawa</w:t>
            </w:r>
          </w:p>
          <w:p w14:paraId="00A52520" w14:textId="77777777" w:rsidR="003860F8" w:rsidRPr="009D6E64" w:rsidRDefault="003860F8" w:rsidP="003860F8">
            <w:pPr>
              <w:jc w:val="right"/>
            </w:pPr>
            <w:r>
              <w:t>1.2 million</w:t>
            </w:r>
          </w:p>
        </w:tc>
      </w:tr>
      <w:tr w:rsidR="00FA134B" w14:paraId="377DE360" w14:textId="045934D6" w:rsidTr="005F2E44">
        <w:tc>
          <w:tcPr>
            <w:tcW w:w="1372" w:type="dxa"/>
            <w:tcBorders>
              <w:left w:val="nil"/>
              <w:right w:val="nil"/>
            </w:tcBorders>
            <w:vAlign w:val="center"/>
          </w:tcPr>
          <w:p w14:paraId="7F6FAA98" w14:textId="4B876712" w:rsidR="00FA134B" w:rsidRDefault="00FA134B" w:rsidP="005F2E44">
            <w:r>
              <w:t>Western</w:t>
            </w:r>
          </w:p>
        </w:tc>
        <w:tc>
          <w:tcPr>
            <w:tcW w:w="1535" w:type="dxa"/>
            <w:tcBorders>
              <w:left w:val="nil"/>
              <w:right w:val="nil"/>
            </w:tcBorders>
            <w:vAlign w:val="center"/>
          </w:tcPr>
          <w:p w14:paraId="79F08034" w14:textId="77777777" w:rsidR="00FA134B" w:rsidRDefault="00FA134B" w:rsidP="005F2E44">
            <w:r>
              <w:t>High</w:t>
            </w:r>
          </w:p>
        </w:tc>
        <w:tc>
          <w:tcPr>
            <w:tcW w:w="1454" w:type="dxa"/>
            <w:tcBorders>
              <w:left w:val="nil"/>
              <w:right w:val="nil"/>
            </w:tcBorders>
            <w:vAlign w:val="center"/>
          </w:tcPr>
          <w:p w14:paraId="1A7335D1" w14:textId="77777777" w:rsidR="00FA134B" w:rsidRDefault="00FA134B" w:rsidP="009D6E64">
            <w:pPr>
              <w:jc w:val="right"/>
            </w:pPr>
            <w:r>
              <w:t>201-300</w:t>
            </w:r>
          </w:p>
        </w:tc>
        <w:tc>
          <w:tcPr>
            <w:tcW w:w="2126" w:type="dxa"/>
            <w:tcBorders>
              <w:left w:val="nil"/>
              <w:right w:val="nil"/>
            </w:tcBorders>
            <w:vAlign w:val="center"/>
          </w:tcPr>
          <w:p w14:paraId="50E44E31" w14:textId="77777777" w:rsidR="00FA134B" w:rsidRDefault="00FA134B" w:rsidP="005F2E44">
            <w:r>
              <w:t>Medical/doctoral</w:t>
            </w:r>
          </w:p>
        </w:tc>
        <w:tc>
          <w:tcPr>
            <w:tcW w:w="1276" w:type="dxa"/>
            <w:tcBorders>
              <w:left w:val="nil"/>
              <w:right w:val="nil"/>
            </w:tcBorders>
            <w:vAlign w:val="center"/>
          </w:tcPr>
          <w:p w14:paraId="6198A1A3" w14:textId="739FCF98" w:rsidR="00FA134B" w:rsidRDefault="00FA134B" w:rsidP="009D6E64">
            <w:pPr>
              <w:jc w:val="right"/>
            </w:pPr>
            <w:r w:rsidRPr="009D6E64">
              <w:t>32,078</w:t>
            </w:r>
          </w:p>
        </w:tc>
        <w:tc>
          <w:tcPr>
            <w:tcW w:w="1559" w:type="dxa"/>
            <w:tcBorders>
              <w:left w:val="nil"/>
              <w:right w:val="nil"/>
            </w:tcBorders>
          </w:tcPr>
          <w:p w14:paraId="5E28BBC9" w14:textId="77777777" w:rsidR="00FA134B" w:rsidRDefault="00CC2D57" w:rsidP="009D6E64">
            <w:pPr>
              <w:jc w:val="right"/>
            </w:pPr>
            <w:r>
              <w:t>London</w:t>
            </w:r>
          </w:p>
          <w:p w14:paraId="6D4CA71E" w14:textId="614D2174" w:rsidR="00CC2D57" w:rsidRPr="009D6E64" w:rsidRDefault="00CC2D57" w:rsidP="009D6E64">
            <w:pPr>
              <w:jc w:val="right"/>
            </w:pPr>
            <w:r>
              <w:t>0.36 million</w:t>
            </w:r>
          </w:p>
        </w:tc>
      </w:tr>
      <w:tr w:rsidR="003860F8" w14:paraId="0883A56A" w14:textId="77777777" w:rsidTr="003860F8">
        <w:tc>
          <w:tcPr>
            <w:tcW w:w="1372" w:type="dxa"/>
            <w:tcBorders>
              <w:left w:val="nil"/>
              <w:right w:val="nil"/>
            </w:tcBorders>
            <w:vAlign w:val="center"/>
          </w:tcPr>
          <w:p w14:paraId="557FDA54" w14:textId="77777777" w:rsidR="003860F8" w:rsidRDefault="003860F8" w:rsidP="003860F8">
            <w:r>
              <w:t>Waterloo</w:t>
            </w:r>
          </w:p>
        </w:tc>
        <w:tc>
          <w:tcPr>
            <w:tcW w:w="1535" w:type="dxa"/>
            <w:tcBorders>
              <w:left w:val="nil"/>
              <w:right w:val="nil"/>
            </w:tcBorders>
            <w:vAlign w:val="center"/>
          </w:tcPr>
          <w:p w14:paraId="24E79BC3" w14:textId="77777777" w:rsidR="003860F8" w:rsidRDefault="003860F8" w:rsidP="003860F8">
            <w:r>
              <w:t>High</w:t>
            </w:r>
          </w:p>
        </w:tc>
        <w:tc>
          <w:tcPr>
            <w:tcW w:w="1454" w:type="dxa"/>
            <w:tcBorders>
              <w:left w:val="nil"/>
              <w:right w:val="nil"/>
            </w:tcBorders>
            <w:vAlign w:val="center"/>
          </w:tcPr>
          <w:p w14:paraId="644F5A1C" w14:textId="77777777" w:rsidR="003860F8" w:rsidRDefault="003860F8" w:rsidP="003860F8">
            <w:pPr>
              <w:jc w:val="right"/>
            </w:pPr>
            <w:r>
              <w:t>151-200</w:t>
            </w:r>
          </w:p>
        </w:tc>
        <w:tc>
          <w:tcPr>
            <w:tcW w:w="2126" w:type="dxa"/>
            <w:tcBorders>
              <w:left w:val="nil"/>
              <w:right w:val="nil"/>
            </w:tcBorders>
            <w:vAlign w:val="center"/>
          </w:tcPr>
          <w:p w14:paraId="5340CEF2" w14:textId="77777777" w:rsidR="003860F8" w:rsidRDefault="003860F8" w:rsidP="003860F8">
            <w:r>
              <w:t>Comprehensive</w:t>
            </w:r>
          </w:p>
        </w:tc>
        <w:tc>
          <w:tcPr>
            <w:tcW w:w="1276" w:type="dxa"/>
            <w:tcBorders>
              <w:left w:val="nil"/>
              <w:right w:val="nil"/>
            </w:tcBorders>
            <w:vAlign w:val="center"/>
          </w:tcPr>
          <w:p w14:paraId="784FED88" w14:textId="77777777" w:rsidR="003860F8" w:rsidRDefault="003860F8" w:rsidP="003860F8">
            <w:pPr>
              <w:jc w:val="right"/>
            </w:pPr>
            <w:r w:rsidRPr="009D6E64">
              <w:t>30,501</w:t>
            </w:r>
          </w:p>
        </w:tc>
        <w:tc>
          <w:tcPr>
            <w:tcW w:w="1559" w:type="dxa"/>
            <w:tcBorders>
              <w:left w:val="nil"/>
              <w:right w:val="nil"/>
            </w:tcBorders>
          </w:tcPr>
          <w:p w14:paraId="2D586F85" w14:textId="77777777" w:rsidR="003860F8" w:rsidRDefault="003860F8" w:rsidP="003860F8">
            <w:pPr>
              <w:jc w:val="right"/>
            </w:pPr>
            <w:r>
              <w:t>Waterloo</w:t>
            </w:r>
          </w:p>
          <w:p w14:paraId="34BB178F" w14:textId="77777777" w:rsidR="003860F8" w:rsidRPr="009D6E64" w:rsidRDefault="003860F8" w:rsidP="003860F8">
            <w:pPr>
              <w:jc w:val="right"/>
            </w:pPr>
            <w:r>
              <w:t>0.5 million</w:t>
            </w:r>
          </w:p>
        </w:tc>
      </w:tr>
      <w:tr w:rsidR="00297012" w14:paraId="315A6CFE" w14:textId="77777777" w:rsidTr="00950FAC">
        <w:tc>
          <w:tcPr>
            <w:tcW w:w="1372" w:type="dxa"/>
            <w:tcBorders>
              <w:left w:val="nil"/>
              <w:right w:val="nil"/>
            </w:tcBorders>
            <w:vAlign w:val="center"/>
          </w:tcPr>
          <w:p w14:paraId="6713C2C4" w14:textId="77777777" w:rsidR="00297012" w:rsidRDefault="00297012" w:rsidP="00950FAC">
            <w:r w:rsidRPr="009D6E64">
              <w:t>Guelph</w:t>
            </w:r>
          </w:p>
        </w:tc>
        <w:tc>
          <w:tcPr>
            <w:tcW w:w="1535" w:type="dxa"/>
            <w:tcBorders>
              <w:left w:val="nil"/>
              <w:right w:val="nil"/>
            </w:tcBorders>
            <w:vAlign w:val="center"/>
          </w:tcPr>
          <w:p w14:paraId="7C23B523" w14:textId="77777777" w:rsidR="00297012" w:rsidRDefault="00297012" w:rsidP="00950FAC">
            <w:r>
              <w:t>High</w:t>
            </w:r>
          </w:p>
        </w:tc>
        <w:tc>
          <w:tcPr>
            <w:tcW w:w="1454" w:type="dxa"/>
            <w:tcBorders>
              <w:left w:val="nil"/>
              <w:right w:val="nil"/>
            </w:tcBorders>
            <w:vAlign w:val="center"/>
          </w:tcPr>
          <w:p w14:paraId="00E8FB0D" w14:textId="77777777" w:rsidR="00297012" w:rsidRDefault="00297012" w:rsidP="00950FAC">
            <w:pPr>
              <w:jc w:val="right"/>
            </w:pPr>
            <w:r>
              <w:t>201-300</w:t>
            </w:r>
          </w:p>
        </w:tc>
        <w:tc>
          <w:tcPr>
            <w:tcW w:w="2126" w:type="dxa"/>
            <w:tcBorders>
              <w:left w:val="nil"/>
              <w:right w:val="nil"/>
            </w:tcBorders>
            <w:vAlign w:val="center"/>
          </w:tcPr>
          <w:p w14:paraId="04F3D49A" w14:textId="77777777" w:rsidR="00297012" w:rsidRDefault="00297012" w:rsidP="00950FAC">
            <w:r>
              <w:t>Comprehensive</w:t>
            </w:r>
          </w:p>
        </w:tc>
        <w:tc>
          <w:tcPr>
            <w:tcW w:w="1276" w:type="dxa"/>
            <w:tcBorders>
              <w:left w:val="nil"/>
              <w:right w:val="nil"/>
            </w:tcBorders>
            <w:vAlign w:val="center"/>
          </w:tcPr>
          <w:p w14:paraId="192FD83D" w14:textId="77777777" w:rsidR="00297012" w:rsidRDefault="00297012" w:rsidP="00950FAC">
            <w:pPr>
              <w:jc w:val="right"/>
            </w:pPr>
            <w:r w:rsidRPr="009D6E64">
              <w:t>20,730</w:t>
            </w:r>
          </w:p>
        </w:tc>
        <w:tc>
          <w:tcPr>
            <w:tcW w:w="1559" w:type="dxa"/>
            <w:tcBorders>
              <w:left w:val="nil"/>
              <w:right w:val="nil"/>
            </w:tcBorders>
          </w:tcPr>
          <w:p w14:paraId="5B875549" w14:textId="77777777" w:rsidR="00297012" w:rsidRDefault="00297012" w:rsidP="00950FAC">
            <w:pPr>
              <w:jc w:val="right"/>
            </w:pPr>
            <w:r w:rsidRPr="009D6E64">
              <w:t>Guelph</w:t>
            </w:r>
          </w:p>
          <w:p w14:paraId="71DFCA22" w14:textId="77777777" w:rsidR="00297012" w:rsidRPr="009D6E64" w:rsidRDefault="00297012" w:rsidP="00950FAC">
            <w:pPr>
              <w:jc w:val="right"/>
            </w:pPr>
            <w:r>
              <w:t>122,000</w:t>
            </w:r>
          </w:p>
        </w:tc>
      </w:tr>
      <w:tr w:rsidR="00521227" w14:paraId="283E1D0B" w14:textId="77777777" w:rsidTr="00950FAC">
        <w:tc>
          <w:tcPr>
            <w:tcW w:w="1372" w:type="dxa"/>
            <w:tcBorders>
              <w:left w:val="nil"/>
              <w:right w:val="nil"/>
            </w:tcBorders>
            <w:vAlign w:val="center"/>
          </w:tcPr>
          <w:p w14:paraId="1E958C61" w14:textId="77777777" w:rsidR="00521227" w:rsidRPr="009D6E64" w:rsidRDefault="00521227" w:rsidP="00950FAC">
            <w:r w:rsidRPr="009D6E64">
              <w:t>Carleton</w:t>
            </w:r>
          </w:p>
        </w:tc>
        <w:tc>
          <w:tcPr>
            <w:tcW w:w="1535" w:type="dxa"/>
            <w:tcBorders>
              <w:left w:val="nil"/>
              <w:right w:val="nil"/>
            </w:tcBorders>
            <w:vAlign w:val="center"/>
          </w:tcPr>
          <w:p w14:paraId="6A373542" w14:textId="77777777" w:rsidR="00521227" w:rsidRDefault="00521227" w:rsidP="00950FAC">
            <w:r>
              <w:t>Developing</w:t>
            </w:r>
          </w:p>
        </w:tc>
        <w:tc>
          <w:tcPr>
            <w:tcW w:w="1454" w:type="dxa"/>
            <w:tcBorders>
              <w:left w:val="nil"/>
              <w:right w:val="nil"/>
            </w:tcBorders>
            <w:vAlign w:val="center"/>
          </w:tcPr>
          <w:p w14:paraId="630324E1" w14:textId="77777777" w:rsidR="00521227" w:rsidRDefault="00521227" w:rsidP="00950FAC">
            <w:pPr>
              <w:jc w:val="right"/>
            </w:pPr>
            <w:r>
              <w:t>401-500</w:t>
            </w:r>
          </w:p>
        </w:tc>
        <w:tc>
          <w:tcPr>
            <w:tcW w:w="2126" w:type="dxa"/>
            <w:tcBorders>
              <w:left w:val="nil"/>
              <w:right w:val="nil"/>
            </w:tcBorders>
            <w:vAlign w:val="center"/>
          </w:tcPr>
          <w:p w14:paraId="0AAAA7E7" w14:textId="77777777" w:rsidR="00521227" w:rsidRDefault="00521227" w:rsidP="00950FAC">
            <w:r>
              <w:t>Comprehensive</w:t>
            </w:r>
          </w:p>
        </w:tc>
        <w:tc>
          <w:tcPr>
            <w:tcW w:w="1276" w:type="dxa"/>
            <w:tcBorders>
              <w:left w:val="nil"/>
              <w:right w:val="nil"/>
            </w:tcBorders>
            <w:vAlign w:val="center"/>
          </w:tcPr>
          <w:p w14:paraId="4FF80C6D" w14:textId="77777777" w:rsidR="00521227" w:rsidRDefault="00521227" w:rsidP="00950FAC">
            <w:pPr>
              <w:jc w:val="right"/>
            </w:pPr>
            <w:r w:rsidRPr="009D6E64">
              <w:t>21,438</w:t>
            </w:r>
          </w:p>
        </w:tc>
        <w:tc>
          <w:tcPr>
            <w:tcW w:w="1559" w:type="dxa"/>
            <w:tcBorders>
              <w:left w:val="nil"/>
              <w:right w:val="nil"/>
            </w:tcBorders>
          </w:tcPr>
          <w:p w14:paraId="7A01A4AF" w14:textId="77777777" w:rsidR="00521227" w:rsidRDefault="00521227" w:rsidP="00950FAC">
            <w:pPr>
              <w:jc w:val="right"/>
            </w:pPr>
            <w:r>
              <w:t>Ottawa</w:t>
            </w:r>
          </w:p>
          <w:p w14:paraId="2C17CDC7" w14:textId="77777777" w:rsidR="00521227" w:rsidRPr="009D6E64" w:rsidRDefault="00521227" w:rsidP="00950FAC">
            <w:pPr>
              <w:jc w:val="right"/>
            </w:pPr>
            <w:r>
              <w:t>1.2 million</w:t>
            </w:r>
          </w:p>
        </w:tc>
      </w:tr>
      <w:tr w:rsidR="00FA134B" w14:paraId="21491BD7" w14:textId="49F6A483" w:rsidTr="005F2E44">
        <w:tc>
          <w:tcPr>
            <w:tcW w:w="1372" w:type="dxa"/>
            <w:tcBorders>
              <w:left w:val="nil"/>
              <w:right w:val="nil"/>
            </w:tcBorders>
            <w:vAlign w:val="center"/>
          </w:tcPr>
          <w:p w14:paraId="0CD89404" w14:textId="18892008" w:rsidR="00FA134B" w:rsidRPr="009D6E64" w:rsidRDefault="00FA134B" w:rsidP="005F2E44">
            <w:r w:rsidRPr="009D6E64">
              <w:t>York</w:t>
            </w:r>
          </w:p>
        </w:tc>
        <w:tc>
          <w:tcPr>
            <w:tcW w:w="1535" w:type="dxa"/>
            <w:tcBorders>
              <w:left w:val="nil"/>
              <w:right w:val="nil"/>
            </w:tcBorders>
            <w:vAlign w:val="center"/>
          </w:tcPr>
          <w:p w14:paraId="6BB30FE1" w14:textId="77777777" w:rsidR="00FA134B" w:rsidRDefault="00FA134B" w:rsidP="005F2E44">
            <w:r>
              <w:t>Developing</w:t>
            </w:r>
          </w:p>
        </w:tc>
        <w:tc>
          <w:tcPr>
            <w:tcW w:w="1454" w:type="dxa"/>
            <w:tcBorders>
              <w:left w:val="nil"/>
              <w:right w:val="nil"/>
            </w:tcBorders>
            <w:vAlign w:val="center"/>
          </w:tcPr>
          <w:p w14:paraId="4F750DF1" w14:textId="77777777" w:rsidR="00FA134B" w:rsidRDefault="00FA134B" w:rsidP="005F2E44">
            <w:pPr>
              <w:jc w:val="right"/>
            </w:pPr>
            <w:r>
              <w:t>201-300</w:t>
            </w:r>
          </w:p>
        </w:tc>
        <w:tc>
          <w:tcPr>
            <w:tcW w:w="2126" w:type="dxa"/>
            <w:tcBorders>
              <w:left w:val="nil"/>
              <w:right w:val="nil"/>
            </w:tcBorders>
            <w:vAlign w:val="center"/>
          </w:tcPr>
          <w:p w14:paraId="58A4C345" w14:textId="77777777" w:rsidR="00FA134B" w:rsidRDefault="00FA134B" w:rsidP="005F2E44">
            <w:r>
              <w:t>Comprehensive</w:t>
            </w:r>
          </w:p>
        </w:tc>
        <w:tc>
          <w:tcPr>
            <w:tcW w:w="1276" w:type="dxa"/>
            <w:tcBorders>
              <w:left w:val="nil"/>
              <w:right w:val="nil"/>
            </w:tcBorders>
            <w:vAlign w:val="center"/>
          </w:tcPr>
          <w:p w14:paraId="43E41D69" w14:textId="77777777" w:rsidR="00FA134B" w:rsidRDefault="00FA134B" w:rsidP="005F2E44">
            <w:pPr>
              <w:jc w:val="right"/>
            </w:pPr>
            <w:r w:rsidRPr="009D6E64">
              <w:t>44,325</w:t>
            </w:r>
          </w:p>
        </w:tc>
        <w:tc>
          <w:tcPr>
            <w:tcW w:w="1559" w:type="dxa"/>
            <w:tcBorders>
              <w:left w:val="nil"/>
              <w:right w:val="nil"/>
            </w:tcBorders>
          </w:tcPr>
          <w:p w14:paraId="001A22D7" w14:textId="77777777" w:rsidR="00611265" w:rsidRDefault="00611265" w:rsidP="00611265">
            <w:pPr>
              <w:jc w:val="right"/>
            </w:pPr>
            <w:r>
              <w:t>Toronto</w:t>
            </w:r>
          </w:p>
          <w:p w14:paraId="16120F95" w14:textId="4419FED9" w:rsidR="00FA134B" w:rsidRPr="009D6E64" w:rsidRDefault="00611265" w:rsidP="00611265">
            <w:pPr>
              <w:jc w:val="right"/>
            </w:pPr>
            <w:r>
              <w:t>5.6 million</w:t>
            </w:r>
          </w:p>
        </w:tc>
      </w:tr>
      <w:tr w:rsidR="00FA134B" w14:paraId="22EEF87B" w14:textId="6C631432" w:rsidTr="005F2E44">
        <w:tc>
          <w:tcPr>
            <w:tcW w:w="1372" w:type="dxa"/>
            <w:tcBorders>
              <w:left w:val="nil"/>
              <w:right w:val="nil"/>
            </w:tcBorders>
            <w:vAlign w:val="center"/>
          </w:tcPr>
          <w:p w14:paraId="4C58466D" w14:textId="77777777" w:rsidR="00FA134B" w:rsidRPr="009D6E64" w:rsidRDefault="00FA134B" w:rsidP="005F2E44">
            <w:r w:rsidRPr="009D6E64">
              <w:t>Ryerson</w:t>
            </w:r>
          </w:p>
        </w:tc>
        <w:tc>
          <w:tcPr>
            <w:tcW w:w="1535" w:type="dxa"/>
            <w:tcBorders>
              <w:left w:val="nil"/>
              <w:right w:val="nil"/>
            </w:tcBorders>
            <w:vAlign w:val="center"/>
          </w:tcPr>
          <w:p w14:paraId="7192A91F" w14:textId="77777777" w:rsidR="00FA134B" w:rsidRDefault="00FA134B" w:rsidP="005F2E44">
            <w:r>
              <w:t>Developing</w:t>
            </w:r>
          </w:p>
        </w:tc>
        <w:tc>
          <w:tcPr>
            <w:tcW w:w="1454" w:type="dxa"/>
            <w:tcBorders>
              <w:left w:val="nil"/>
              <w:right w:val="nil"/>
            </w:tcBorders>
            <w:vAlign w:val="center"/>
          </w:tcPr>
          <w:p w14:paraId="226F0F30" w14:textId="77777777" w:rsidR="00FA134B" w:rsidRDefault="00FA134B" w:rsidP="005F2E44"/>
        </w:tc>
        <w:tc>
          <w:tcPr>
            <w:tcW w:w="2126" w:type="dxa"/>
            <w:tcBorders>
              <w:left w:val="nil"/>
              <w:right w:val="nil"/>
            </w:tcBorders>
            <w:vAlign w:val="center"/>
          </w:tcPr>
          <w:p w14:paraId="19A660E8" w14:textId="5447ECD2" w:rsidR="00FA134B" w:rsidRDefault="00096CA1" w:rsidP="005F2E44">
            <w:r>
              <w:t>Comprehensive</w:t>
            </w:r>
          </w:p>
        </w:tc>
        <w:tc>
          <w:tcPr>
            <w:tcW w:w="1276" w:type="dxa"/>
            <w:tcBorders>
              <w:left w:val="nil"/>
              <w:right w:val="nil"/>
            </w:tcBorders>
            <w:vAlign w:val="center"/>
          </w:tcPr>
          <w:p w14:paraId="1EE06E2A" w14:textId="77777777" w:rsidR="00FA134B" w:rsidRDefault="00FA134B" w:rsidP="005F2E44">
            <w:pPr>
              <w:jc w:val="right"/>
            </w:pPr>
            <w:r w:rsidRPr="009D6E64">
              <w:t>20,775</w:t>
            </w:r>
          </w:p>
        </w:tc>
        <w:tc>
          <w:tcPr>
            <w:tcW w:w="1559" w:type="dxa"/>
            <w:tcBorders>
              <w:left w:val="nil"/>
              <w:right w:val="nil"/>
            </w:tcBorders>
          </w:tcPr>
          <w:p w14:paraId="61B90507" w14:textId="77777777" w:rsidR="00611265" w:rsidRDefault="00611265" w:rsidP="00611265">
            <w:pPr>
              <w:jc w:val="right"/>
            </w:pPr>
            <w:r>
              <w:t>Toronto</w:t>
            </w:r>
          </w:p>
          <w:p w14:paraId="300AC657" w14:textId="0E49E670" w:rsidR="00FA134B" w:rsidRPr="009D6E64" w:rsidRDefault="00611265" w:rsidP="00611265">
            <w:pPr>
              <w:jc w:val="right"/>
            </w:pPr>
            <w:r>
              <w:t>5.6 million</w:t>
            </w:r>
          </w:p>
        </w:tc>
      </w:tr>
      <w:tr w:rsidR="00A54441" w14:paraId="6D35FF9F" w14:textId="77777777" w:rsidTr="00950FAC">
        <w:tc>
          <w:tcPr>
            <w:tcW w:w="1372" w:type="dxa"/>
            <w:tcBorders>
              <w:left w:val="nil"/>
              <w:right w:val="nil"/>
            </w:tcBorders>
            <w:vAlign w:val="center"/>
          </w:tcPr>
          <w:p w14:paraId="5C769CC1" w14:textId="77777777" w:rsidR="00A54441" w:rsidRPr="009D6E64" w:rsidRDefault="00A54441" w:rsidP="00950FAC">
            <w:r w:rsidRPr="009D6E64">
              <w:t>Laurier</w:t>
            </w:r>
          </w:p>
        </w:tc>
        <w:tc>
          <w:tcPr>
            <w:tcW w:w="1535" w:type="dxa"/>
            <w:tcBorders>
              <w:left w:val="nil"/>
              <w:right w:val="nil"/>
            </w:tcBorders>
            <w:vAlign w:val="center"/>
          </w:tcPr>
          <w:p w14:paraId="4D687CE4" w14:textId="77777777" w:rsidR="00A54441" w:rsidRDefault="00A54441" w:rsidP="00950FAC">
            <w:r>
              <w:t>Niche</w:t>
            </w:r>
          </w:p>
        </w:tc>
        <w:tc>
          <w:tcPr>
            <w:tcW w:w="1454" w:type="dxa"/>
            <w:tcBorders>
              <w:left w:val="nil"/>
              <w:right w:val="nil"/>
            </w:tcBorders>
            <w:vAlign w:val="center"/>
          </w:tcPr>
          <w:p w14:paraId="3C8C1C6E" w14:textId="77777777" w:rsidR="00A54441" w:rsidRDefault="00A54441" w:rsidP="00950FAC"/>
        </w:tc>
        <w:tc>
          <w:tcPr>
            <w:tcW w:w="2126" w:type="dxa"/>
            <w:tcBorders>
              <w:left w:val="nil"/>
              <w:right w:val="nil"/>
            </w:tcBorders>
            <w:vAlign w:val="center"/>
          </w:tcPr>
          <w:p w14:paraId="662B8D7D" w14:textId="77777777" w:rsidR="00A54441" w:rsidRDefault="00A54441" w:rsidP="00950FAC">
            <w:r>
              <w:t>Comprehensive</w:t>
            </w:r>
          </w:p>
        </w:tc>
        <w:tc>
          <w:tcPr>
            <w:tcW w:w="1276" w:type="dxa"/>
            <w:tcBorders>
              <w:left w:val="nil"/>
              <w:right w:val="nil"/>
            </w:tcBorders>
            <w:vAlign w:val="center"/>
          </w:tcPr>
          <w:p w14:paraId="2FDFD2F9" w14:textId="77777777" w:rsidR="00A54441" w:rsidRDefault="00A54441" w:rsidP="00950FAC">
            <w:pPr>
              <w:jc w:val="right"/>
            </w:pPr>
            <w:r w:rsidRPr="009D6E64">
              <w:t>15,382</w:t>
            </w:r>
          </w:p>
        </w:tc>
        <w:tc>
          <w:tcPr>
            <w:tcW w:w="1559" w:type="dxa"/>
            <w:tcBorders>
              <w:left w:val="nil"/>
              <w:right w:val="nil"/>
            </w:tcBorders>
          </w:tcPr>
          <w:p w14:paraId="38AD56C6" w14:textId="77777777" w:rsidR="00A54441" w:rsidRDefault="00A54441" w:rsidP="00950FAC">
            <w:pPr>
              <w:jc w:val="right"/>
            </w:pPr>
            <w:r>
              <w:t>Waterloo</w:t>
            </w:r>
          </w:p>
          <w:p w14:paraId="6CE6CC3C" w14:textId="77777777" w:rsidR="00A54441" w:rsidRPr="009D6E64" w:rsidRDefault="00A54441" w:rsidP="00950FAC">
            <w:pPr>
              <w:jc w:val="right"/>
            </w:pPr>
            <w:r>
              <w:t>0.5 million</w:t>
            </w:r>
          </w:p>
        </w:tc>
      </w:tr>
      <w:tr w:rsidR="00FA134B" w14:paraId="1365D7BE" w14:textId="2E7C7AE3" w:rsidTr="005F2E44">
        <w:tc>
          <w:tcPr>
            <w:tcW w:w="1372" w:type="dxa"/>
            <w:tcBorders>
              <w:left w:val="nil"/>
              <w:right w:val="nil"/>
            </w:tcBorders>
            <w:vAlign w:val="center"/>
          </w:tcPr>
          <w:p w14:paraId="2D53136F" w14:textId="42BA2E23" w:rsidR="00FA134B" w:rsidRPr="009D6E64" w:rsidRDefault="00FA134B" w:rsidP="00AB29FF">
            <w:r w:rsidRPr="009D6E64">
              <w:t>Windsor</w:t>
            </w:r>
          </w:p>
        </w:tc>
        <w:tc>
          <w:tcPr>
            <w:tcW w:w="1535" w:type="dxa"/>
            <w:tcBorders>
              <w:left w:val="nil"/>
              <w:right w:val="nil"/>
            </w:tcBorders>
            <w:vAlign w:val="center"/>
          </w:tcPr>
          <w:p w14:paraId="671D506E" w14:textId="5A3DFC7A" w:rsidR="00FA134B" w:rsidRDefault="00FA134B" w:rsidP="00AB29FF">
            <w:r>
              <w:t>Developing</w:t>
            </w:r>
          </w:p>
        </w:tc>
        <w:tc>
          <w:tcPr>
            <w:tcW w:w="1454" w:type="dxa"/>
            <w:tcBorders>
              <w:left w:val="nil"/>
              <w:right w:val="nil"/>
            </w:tcBorders>
            <w:vAlign w:val="center"/>
          </w:tcPr>
          <w:p w14:paraId="6AA37442" w14:textId="77777777" w:rsidR="00FA134B" w:rsidRDefault="00FA134B" w:rsidP="009D6E64">
            <w:pPr>
              <w:jc w:val="right"/>
            </w:pPr>
          </w:p>
        </w:tc>
        <w:tc>
          <w:tcPr>
            <w:tcW w:w="2126" w:type="dxa"/>
            <w:tcBorders>
              <w:left w:val="nil"/>
              <w:right w:val="nil"/>
            </w:tcBorders>
            <w:vAlign w:val="center"/>
          </w:tcPr>
          <w:p w14:paraId="1BB00230" w14:textId="73269EB0" w:rsidR="00FA134B" w:rsidRDefault="00FA134B" w:rsidP="00AB29FF">
            <w:r>
              <w:t>Comprehensive</w:t>
            </w:r>
          </w:p>
        </w:tc>
        <w:tc>
          <w:tcPr>
            <w:tcW w:w="1276" w:type="dxa"/>
            <w:tcBorders>
              <w:left w:val="nil"/>
              <w:right w:val="nil"/>
            </w:tcBorders>
            <w:vAlign w:val="center"/>
          </w:tcPr>
          <w:p w14:paraId="4A50A8BB" w14:textId="0F5BB4A9" w:rsidR="00FA134B" w:rsidRDefault="00FA134B" w:rsidP="009D6E64">
            <w:pPr>
              <w:jc w:val="right"/>
            </w:pPr>
            <w:r w:rsidRPr="009D6E64">
              <w:t>13,181</w:t>
            </w:r>
          </w:p>
        </w:tc>
        <w:tc>
          <w:tcPr>
            <w:tcW w:w="1559" w:type="dxa"/>
            <w:tcBorders>
              <w:left w:val="nil"/>
              <w:right w:val="nil"/>
            </w:tcBorders>
          </w:tcPr>
          <w:p w14:paraId="31D7057C" w14:textId="77777777" w:rsidR="00FA134B" w:rsidRDefault="00611265" w:rsidP="009D6E64">
            <w:pPr>
              <w:jc w:val="right"/>
            </w:pPr>
            <w:r>
              <w:t>Windsor</w:t>
            </w:r>
          </w:p>
          <w:p w14:paraId="7883122E" w14:textId="3BAE166C" w:rsidR="00611265" w:rsidRPr="009D6E64" w:rsidRDefault="00611265" w:rsidP="009D6E64">
            <w:pPr>
              <w:jc w:val="right"/>
            </w:pPr>
            <w:r>
              <w:t>320,000</w:t>
            </w:r>
          </w:p>
        </w:tc>
      </w:tr>
      <w:tr w:rsidR="00A812EA" w14:paraId="7FB031E1" w14:textId="77777777" w:rsidTr="005F2E44">
        <w:tc>
          <w:tcPr>
            <w:tcW w:w="1372" w:type="dxa"/>
            <w:tcBorders>
              <w:left w:val="nil"/>
              <w:right w:val="nil"/>
            </w:tcBorders>
            <w:vAlign w:val="center"/>
          </w:tcPr>
          <w:p w14:paraId="14D10806" w14:textId="77777777" w:rsidR="00A812EA" w:rsidRPr="009D6E64" w:rsidRDefault="00A812EA" w:rsidP="005F2E44">
            <w:r w:rsidRPr="009D6E64">
              <w:t>Brock</w:t>
            </w:r>
          </w:p>
        </w:tc>
        <w:tc>
          <w:tcPr>
            <w:tcW w:w="1535" w:type="dxa"/>
            <w:tcBorders>
              <w:left w:val="nil"/>
              <w:right w:val="nil"/>
            </w:tcBorders>
            <w:vAlign w:val="center"/>
          </w:tcPr>
          <w:p w14:paraId="322D822E" w14:textId="77777777" w:rsidR="00A812EA" w:rsidRDefault="00A812EA" w:rsidP="005F2E44">
            <w:r>
              <w:t>Niche</w:t>
            </w:r>
          </w:p>
        </w:tc>
        <w:tc>
          <w:tcPr>
            <w:tcW w:w="1454" w:type="dxa"/>
            <w:tcBorders>
              <w:left w:val="nil"/>
              <w:right w:val="nil"/>
            </w:tcBorders>
            <w:vAlign w:val="center"/>
          </w:tcPr>
          <w:p w14:paraId="16E7FACD" w14:textId="77777777" w:rsidR="00A812EA" w:rsidRDefault="00A812EA" w:rsidP="005F2E44"/>
        </w:tc>
        <w:tc>
          <w:tcPr>
            <w:tcW w:w="2126" w:type="dxa"/>
            <w:tcBorders>
              <w:left w:val="nil"/>
              <w:right w:val="nil"/>
            </w:tcBorders>
            <w:vAlign w:val="center"/>
          </w:tcPr>
          <w:p w14:paraId="5C8D4703" w14:textId="56A0F3C5" w:rsidR="00A812EA" w:rsidRDefault="00096CA1" w:rsidP="005F2E44">
            <w:r>
              <w:t>Comprehensive</w:t>
            </w:r>
          </w:p>
        </w:tc>
        <w:tc>
          <w:tcPr>
            <w:tcW w:w="1276" w:type="dxa"/>
            <w:tcBorders>
              <w:left w:val="nil"/>
              <w:right w:val="nil"/>
            </w:tcBorders>
            <w:vAlign w:val="center"/>
          </w:tcPr>
          <w:p w14:paraId="32EA354D" w14:textId="77777777" w:rsidR="00A812EA" w:rsidRDefault="00A812EA" w:rsidP="005F2E44">
            <w:pPr>
              <w:jc w:val="right"/>
            </w:pPr>
            <w:r w:rsidRPr="009D6E64">
              <w:t>15,321</w:t>
            </w:r>
          </w:p>
        </w:tc>
        <w:tc>
          <w:tcPr>
            <w:tcW w:w="1559" w:type="dxa"/>
            <w:tcBorders>
              <w:left w:val="nil"/>
              <w:right w:val="nil"/>
            </w:tcBorders>
          </w:tcPr>
          <w:p w14:paraId="03117CE5" w14:textId="34858880" w:rsidR="008A76CD" w:rsidRPr="008A76CD" w:rsidRDefault="008A76CD" w:rsidP="008A76CD">
            <w:pPr>
              <w:jc w:val="right"/>
            </w:pPr>
            <w:r>
              <w:t xml:space="preserve">St </w:t>
            </w:r>
            <w:r w:rsidRPr="008A76CD">
              <w:t>Catharines</w:t>
            </w:r>
          </w:p>
          <w:p w14:paraId="5E0BA46F" w14:textId="01D25DB0" w:rsidR="00A812EA" w:rsidRPr="009D6E64" w:rsidRDefault="008A76CD" w:rsidP="008A76CD">
            <w:pPr>
              <w:jc w:val="right"/>
            </w:pPr>
            <w:r w:rsidRPr="008A76CD">
              <w:t>390,000</w:t>
            </w:r>
          </w:p>
        </w:tc>
      </w:tr>
      <w:tr w:rsidR="00A54441" w14:paraId="34824EE4" w14:textId="77777777" w:rsidTr="00950FAC">
        <w:tc>
          <w:tcPr>
            <w:tcW w:w="1372" w:type="dxa"/>
            <w:tcBorders>
              <w:left w:val="nil"/>
              <w:right w:val="nil"/>
            </w:tcBorders>
            <w:vAlign w:val="center"/>
          </w:tcPr>
          <w:p w14:paraId="43136314" w14:textId="77777777" w:rsidR="00A54441" w:rsidRPr="009D6E64" w:rsidRDefault="00A54441" w:rsidP="00950FAC">
            <w:r w:rsidRPr="009D6E64">
              <w:t>Trent</w:t>
            </w:r>
          </w:p>
        </w:tc>
        <w:tc>
          <w:tcPr>
            <w:tcW w:w="1535" w:type="dxa"/>
            <w:tcBorders>
              <w:left w:val="nil"/>
              <w:right w:val="nil"/>
            </w:tcBorders>
            <w:vAlign w:val="center"/>
          </w:tcPr>
          <w:p w14:paraId="59CCD5CC" w14:textId="77777777" w:rsidR="00A54441" w:rsidRDefault="00A54441" w:rsidP="00950FAC">
            <w:r>
              <w:t>Niche</w:t>
            </w:r>
          </w:p>
        </w:tc>
        <w:tc>
          <w:tcPr>
            <w:tcW w:w="1454" w:type="dxa"/>
            <w:tcBorders>
              <w:left w:val="nil"/>
              <w:right w:val="nil"/>
            </w:tcBorders>
            <w:vAlign w:val="center"/>
          </w:tcPr>
          <w:p w14:paraId="2232E3A7" w14:textId="77777777" w:rsidR="00A54441" w:rsidRDefault="00A54441" w:rsidP="00950FAC"/>
        </w:tc>
        <w:tc>
          <w:tcPr>
            <w:tcW w:w="2126" w:type="dxa"/>
            <w:tcBorders>
              <w:left w:val="nil"/>
              <w:right w:val="nil"/>
            </w:tcBorders>
            <w:vAlign w:val="center"/>
          </w:tcPr>
          <w:p w14:paraId="155450C4" w14:textId="77777777" w:rsidR="00A54441" w:rsidRDefault="00A54441" w:rsidP="00950FAC">
            <w:r>
              <w:t>Primarily ugrad</w:t>
            </w:r>
          </w:p>
        </w:tc>
        <w:tc>
          <w:tcPr>
            <w:tcW w:w="1276" w:type="dxa"/>
            <w:tcBorders>
              <w:left w:val="nil"/>
              <w:right w:val="nil"/>
            </w:tcBorders>
            <w:vAlign w:val="center"/>
          </w:tcPr>
          <w:p w14:paraId="5EAB3389" w14:textId="77777777" w:rsidR="00A54441" w:rsidRDefault="00A54441" w:rsidP="00950FAC">
            <w:pPr>
              <w:jc w:val="right"/>
            </w:pPr>
            <w:r w:rsidRPr="009D6E64">
              <w:t>6,114</w:t>
            </w:r>
          </w:p>
        </w:tc>
        <w:tc>
          <w:tcPr>
            <w:tcW w:w="1559" w:type="dxa"/>
            <w:tcBorders>
              <w:left w:val="nil"/>
              <w:right w:val="nil"/>
            </w:tcBorders>
          </w:tcPr>
          <w:p w14:paraId="68E501C8" w14:textId="77777777" w:rsidR="00A54441" w:rsidRPr="008A76CD" w:rsidRDefault="00A54441" w:rsidP="00950FAC">
            <w:pPr>
              <w:jc w:val="right"/>
            </w:pPr>
            <w:r w:rsidRPr="008A76CD">
              <w:t>Peterborough 119,000</w:t>
            </w:r>
          </w:p>
        </w:tc>
      </w:tr>
      <w:tr w:rsidR="00A812EA" w14:paraId="4BEBE616" w14:textId="77777777" w:rsidTr="005F2E44">
        <w:tc>
          <w:tcPr>
            <w:tcW w:w="1372" w:type="dxa"/>
            <w:tcBorders>
              <w:left w:val="nil"/>
              <w:right w:val="nil"/>
            </w:tcBorders>
            <w:vAlign w:val="center"/>
          </w:tcPr>
          <w:p w14:paraId="549AA010" w14:textId="77777777" w:rsidR="00A812EA" w:rsidRPr="009D6E64" w:rsidRDefault="00A812EA" w:rsidP="005F2E44">
            <w:r w:rsidRPr="009D6E64">
              <w:t>Lakehead</w:t>
            </w:r>
          </w:p>
        </w:tc>
        <w:tc>
          <w:tcPr>
            <w:tcW w:w="1535" w:type="dxa"/>
            <w:tcBorders>
              <w:left w:val="nil"/>
              <w:right w:val="nil"/>
            </w:tcBorders>
            <w:vAlign w:val="center"/>
          </w:tcPr>
          <w:p w14:paraId="4AFB6E7D" w14:textId="77777777" w:rsidR="00A812EA" w:rsidRDefault="00A812EA" w:rsidP="005F2E44">
            <w:r>
              <w:t>Niche</w:t>
            </w:r>
          </w:p>
        </w:tc>
        <w:tc>
          <w:tcPr>
            <w:tcW w:w="1454" w:type="dxa"/>
            <w:tcBorders>
              <w:left w:val="nil"/>
              <w:right w:val="nil"/>
            </w:tcBorders>
            <w:vAlign w:val="center"/>
          </w:tcPr>
          <w:p w14:paraId="2ACA81BC" w14:textId="77777777" w:rsidR="00A812EA" w:rsidRDefault="00A812EA" w:rsidP="005F2E44"/>
        </w:tc>
        <w:tc>
          <w:tcPr>
            <w:tcW w:w="2126" w:type="dxa"/>
            <w:tcBorders>
              <w:left w:val="nil"/>
              <w:right w:val="nil"/>
            </w:tcBorders>
            <w:vAlign w:val="center"/>
          </w:tcPr>
          <w:p w14:paraId="35DFD859" w14:textId="77777777" w:rsidR="00A812EA" w:rsidRDefault="00A812EA" w:rsidP="005F2E44">
            <w:r>
              <w:t>Primarily ugrad</w:t>
            </w:r>
          </w:p>
        </w:tc>
        <w:tc>
          <w:tcPr>
            <w:tcW w:w="1276" w:type="dxa"/>
            <w:tcBorders>
              <w:left w:val="nil"/>
              <w:right w:val="nil"/>
            </w:tcBorders>
            <w:vAlign w:val="center"/>
          </w:tcPr>
          <w:p w14:paraId="677B9A02" w14:textId="77777777" w:rsidR="00A812EA" w:rsidRDefault="00A812EA" w:rsidP="005F2E44">
            <w:pPr>
              <w:jc w:val="right"/>
            </w:pPr>
            <w:r w:rsidRPr="009D6E64">
              <w:t>6,999</w:t>
            </w:r>
          </w:p>
        </w:tc>
        <w:tc>
          <w:tcPr>
            <w:tcW w:w="1559" w:type="dxa"/>
            <w:tcBorders>
              <w:left w:val="nil"/>
              <w:right w:val="nil"/>
            </w:tcBorders>
          </w:tcPr>
          <w:p w14:paraId="6F28844F" w14:textId="77777777" w:rsidR="00A812EA" w:rsidRPr="008A76CD" w:rsidRDefault="008A76CD" w:rsidP="008A76CD">
            <w:pPr>
              <w:jc w:val="right"/>
            </w:pPr>
            <w:r w:rsidRPr="008A76CD">
              <w:t>Thunder Bay</w:t>
            </w:r>
          </w:p>
          <w:p w14:paraId="0BD02A1A" w14:textId="0068AEF5" w:rsidR="008A76CD" w:rsidRPr="008A76CD" w:rsidRDefault="008A76CD" w:rsidP="008A76CD">
            <w:pPr>
              <w:jc w:val="right"/>
              <w:rPr>
                <w:rFonts w:ascii="Times" w:eastAsia="Times New Roman" w:hAnsi="Times"/>
                <w:sz w:val="20"/>
                <w:szCs w:val="20"/>
                <w:lang w:eastAsia="en-US"/>
              </w:rPr>
            </w:pPr>
            <w:r w:rsidRPr="008A76CD">
              <w:t>120,000</w:t>
            </w:r>
          </w:p>
        </w:tc>
      </w:tr>
      <w:tr w:rsidR="00A812EA" w14:paraId="2EA5C29F" w14:textId="77777777" w:rsidTr="005F2E44">
        <w:tc>
          <w:tcPr>
            <w:tcW w:w="1372" w:type="dxa"/>
            <w:tcBorders>
              <w:left w:val="nil"/>
              <w:right w:val="nil"/>
            </w:tcBorders>
            <w:vAlign w:val="center"/>
          </w:tcPr>
          <w:p w14:paraId="430B13F7" w14:textId="77777777" w:rsidR="00A812EA" w:rsidRPr="009D6E64" w:rsidRDefault="00A812EA" w:rsidP="005F2E44">
            <w:r w:rsidRPr="009D6E64">
              <w:t>Laurentian</w:t>
            </w:r>
          </w:p>
        </w:tc>
        <w:tc>
          <w:tcPr>
            <w:tcW w:w="1535" w:type="dxa"/>
            <w:tcBorders>
              <w:left w:val="nil"/>
              <w:right w:val="nil"/>
            </w:tcBorders>
            <w:vAlign w:val="center"/>
          </w:tcPr>
          <w:p w14:paraId="1B09BD01" w14:textId="77777777" w:rsidR="00A812EA" w:rsidRDefault="00A812EA" w:rsidP="005F2E44">
            <w:r>
              <w:t>Niche</w:t>
            </w:r>
          </w:p>
        </w:tc>
        <w:tc>
          <w:tcPr>
            <w:tcW w:w="1454" w:type="dxa"/>
            <w:tcBorders>
              <w:left w:val="nil"/>
              <w:right w:val="nil"/>
            </w:tcBorders>
            <w:vAlign w:val="center"/>
          </w:tcPr>
          <w:p w14:paraId="5FA493C5" w14:textId="77777777" w:rsidR="00A812EA" w:rsidRDefault="00A812EA" w:rsidP="005F2E44"/>
        </w:tc>
        <w:tc>
          <w:tcPr>
            <w:tcW w:w="2126" w:type="dxa"/>
            <w:tcBorders>
              <w:left w:val="nil"/>
              <w:right w:val="nil"/>
            </w:tcBorders>
            <w:vAlign w:val="center"/>
          </w:tcPr>
          <w:p w14:paraId="47C5E68D" w14:textId="77777777" w:rsidR="00A812EA" w:rsidRDefault="00A812EA" w:rsidP="005F2E44">
            <w:r>
              <w:t>Primarily ugrad</w:t>
            </w:r>
          </w:p>
        </w:tc>
        <w:tc>
          <w:tcPr>
            <w:tcW w:w="1276" w:type="dxa"/>
            <w:tcBorders>
              <w:left w:val="nil"/>
              <w:right w:val="nil"/>
            </w:tcBorders>
            <w:vAlign w:val="center"/>
          </w:tcPr>
          <w:p w14:paraId="0E2A7DFA" w14:textId="77777777" w:rsidR="00A812EA" w:rsidRDefault="00A812EA" w:rsidP="005F2E44">
            <w:pPr>
              <w:jc w:val="right"/>
            </w:pPr>
            <w:r w:rsidRPr="009D6E64">
              <w:t>6,741</w:t>
            </w:r>
          </w:p>
        </w:tc>
        <w:tc>
          <w:tcPr>
            <w:tcW w:w="1559" w:type="dxa"/>
            <w:tcBorders>
              <w:left w:val="nil"/>
              <w:right w:val="nil"/>
            </w:tcBorders>
          </w:tcPr>
          <w:p w14:paraId="0F2F8FA1" w14:textId="36F2EBE8" w:rsidR="00A812EA" w:rsidRPr="008A76CD" w:rsidRDefault="008A76CD" w:rsidP="008A76CD">
            <w:pPr>
              <w:jc w:val="right"/>
            </w:pPr>
            <w:r w:rsidRPr="008A76CD">
              <w:t>Sudbury 160,000</w:t>
            </w:r>
          </w:p>
        </w:tc>
      </w:tr>
      <w:tr w:rsidR="00A812EA" w14:paraId="047D6E50" w14:textId="77777777" w:rsidTr="005F2E44">
        <w:tc>
          <w:tcPr>
            <w:tcW w:w="1372" w:type="dxa"/>
            <w:tcBorders>
              <w:left w:val="nil"/>
              <w:right w:val="nil"/>
            </w:tcBorders>
            <w:vAlign w:val="center"/>
          </w:tcPr>
          <w:p w14:paraId="684525CB" w14:textId="77777777" w:rsidR="00A812EA" w:rsidRPr="009D6E64" w:rsidRDefault="00A812EA" w:rsidP="005F2E44">
            <w:r w:rsidRPr="009D6E64">
              <w:t>Nipissing</w:t>
            </w:r>
          </w:p>
        </w:tc>
        <w:tc>
          <w:tcPr>
            <w:tcW w:w="1535" w:type="dxa"/>
            <w:tcBorders>
              <w:left w:val="nil"/>
              <w:right w:val="nil"/>
            </w:tcBorders>
            <w:vAlign w:val="center"/>
          </w:tcPr>
          <w:p w14:paraId="3FC7DE26" w14:textId="77777777" w:rsidR="00A812EA" w:rsidRDefault="00A812EA" w:rsidP="005F2E44">
            <w:r>
              <w:t>Niche</w:t>
            </w:r>
          </w:p>
        </w:tc>
        <w:tc>
          <w:tcPr>
            <w:tcW w:w="1454" w:type="dxa"/>
            <w:tcBorders>
              <w:left w:val="nil"/>
              <w:right w:val="nil"/>
            </w:tcBorders>
            <w:vAlign w:val="center"/>
          </w:tcPr>
          <w:p w14:paraId="71A225E1" w14:textId="77777777" w:rsidR="00A812EA" w:rsidRDefault="00A812EA" w:rsidP="005F2E44"/>
        </w:tc>
        <w:tc>
          <w:tcPr>
            <w:tcW w:w="2126" w:type="dxa"/>
            <w:tcBorders>
              <w:left w:val="nil"/>
              <w:right w:val="nil"/>
            </w:tcBorders>
            <w:vAlign w:val="center"/>
          </w:tcPr>
          <w:p w14:paraId="74940CEA" w14:textId="77777777" w:rsidR="00A812EA" w:rsidRDefault="00A812EA" w:rsidP="005F2E44">
            <w:r>
              <w:t>Primarily ugrad</w:t>
            </w:r>
          </w:p>
        </w:tc>
        <w:tc>
          <w:tcPr>
            <w:tcW w:w="1276" w:type="dxa"/>
            <w:tcBorders>
              <w:left w:val="nil"/>
              <w:right w:val="nil"/>
            </w:tcBorders>
            <w:vAlign w:val="center"/>
          </w:tcPr>
          <w:p w14:paraId="6EC067AA" w14:textId="77777777" w:rsidR="00A812EA" w:rsidRDefault="00A812EA" w:rsidP="005F2E44">
            <w:pPr>
              <w:jc w:val="right"/>
            </w:pPr>
            <w:r w:rsidRPr="009D6E64">
              <w:t>3,910</w:t>
            </w:r>
          </w:p>
        </w:tc>
        <w:tc>
          <w:tcPr>
            <w:tcW w:w="1559" w:type="dxa"/>
            <w:tcBorders>
              <w:left w:val="nil"/>
              <w:right w:val="nil"/>
            </w:tcBorders>
          </w:tcPr>
          <w:p w14:paraId="1D9B543C" w14:textId="77777777" w:rsidR="00A812EA" w:rsidRDefault="008A76CD" w:rsidP="005F2E44">
            <w:pPr>
              <w:jc w:val="right"/>
            </w:pPr>
            <w:r>
              <w:t>North Bay</w:t>
            </w:r>
          </w:p>
          <w:p w14:paraId="6655CBEF" w14:textId="46F79066" w:rsidR="008A76CD" w:rsidRPr="009D6E64" w:rsidRDefault="008A76CD" w:rsidP="005F2E44">
            <w:pPr>
              <w:jc w:val="right"/>
            </w:pPr>
            <w:r>
              <w:t>64,000</w:t>
            </w:r>
          </w:p>
        </w:tc>
      </w:tr>
      <w:tr w:rsidR="00FA134B" w14:paraId="70020270" w14:textId="38B7E4E7" w:rsidTr="005F2E44">
        <w:tc>
          <w:tcPr>
            <w:tcW w:w="1372" w:type="dxa"/>
            <w:tcBorders>
              <w:left w:val="nil"/>
              <w:right w:val="nil"/>
            </w:tcBorders>
            <w:vAlign w:val="center"/>
          </w:tcPr>
          <w:p w14:paraId="2B9CE987" w14:textId="6AFB54F8" w:rsidR="00FA134B" w:rsidRPr="009D6E64" w:rsidRDefault="00FA134B" w:rsidP="00AB29FF">
            <w:r w:rsidRPr="009D6E64">
              <w:t>Algoma</w:t>
            </w:r>
          </w:p>
        </w:tc>
        <w:tc>
          <w:tcPr>
            <w:tcW w:w="1535" w:type="dxa"/>
            <w:tcBorders>
              <w:left w:val="nil"/>
              <w:right w:val="nil"/>
            </w:tcBorders>
            <w:vAlign w:val="center"/>
          </w:tcPr>
          <w:p w14:paraId="3DB7BD2E" w14:textId="7E3DFC42" w:rsidR="00FA134B" w:rsidRDefault="00FA134B" w:rsidP="00AB29FF">
            <w:r>
              <w:t>Niche</w:t>
            </w:r>
          </w:p>
        </w:tc>
        <w:tc>
          <w:tcPr>
            <w:tcW w:w="1454" w:type="dxa"/>
            <w:tcBorders>
              <w:left w:val="nil"/>
              <w:right w:val="nil"/>
            </w:tcBorders>
            <w:vAlign w:val="center"/>
          </w:tcPr>
          <w:p w14:paraId="4CE15F15" w14:textId="77777777" w:rsidR="00FA134B" w:rsidRDefault="00FA134B" w:rsidP="00AB29FF"/>
        </w:tc>
        <w:tc>
          <w:tcPr>
            <w:tcW w:w="2126" w:type="dxa"/>
            <w:tcBorders>
              <w:left w:val="nil"/>
              <w:right w:val="nil"/>
            </w:tcBorders>
            <w:vAlign w:val="center"/>
          </w:tcPr>
          <w:p w14:paraId="7D098C81" w14:textId="39214888" w:rsidR="00FA134B" w:rsidRDefault="0096056F" w:rsidP="00AB29FF">
            <w:r>
              <w:t>Primarily ugrad</w:t>
            </w:r>
          </w:p>
        </w:tc>
        <w:tc>
          <w:tcPr>
            <w:tcW w:w="1276" w:type="dxa"/>
            <w:tcBorders>
              <w:left w:val="nil"/>
              <w:right w:val="nil"/>
            </w:tcBorders>
            <w:vAlign w:val="center"/>
          </w:tcPr>
          <w:p w14:paraId="726035EF" w14:textId="07C787E0" w:rsidR="00FA134B" w:rsidRDefault="00FA134B" w:rsidP="009D6E64">
            <w:pPr>
              <w:jc w:val="right"/>
            </w:pPr>
            <w:r>
              <w:t>921</w:t>
            </w:r>
          </w:p>
        </w:tc>
        <w:tc>
          <w:tcPr>
            <w:tcW w:w="1559" w:type="dxa"/>
            <w:tcBorders>
              <w:left w:val="nil"/>
              <w:right w:val="nil"/>
            </w:tcBorders>
          </w:tcPr>
          <w:p w14:paraId="3B2FA90C" w14:textId="77777777" w:rsidR="00FA134B" w:rsidRPr="006B10EF" w:rsidRDefault="006B10EF" w:rsidP="006B10EF">
            <w:pPr>
              <w:jc w:val="right"/>
            </w:pPr>
            <w:r w:rsidRPr="006B10EF">
              <w:t>Sault Ste. Marie</w:t>
            </w:r>
          </w:p>
          <w:p w14:paraId="01D541A5" w14:textId="2E74FA31" w:rsidR="006B10EF" w:rsidRPr="006B10EF" w:rsidRDefault="006B10EF" w:rsidP="006B10EF">
            <w:pPr>
              <w:jc w:val="right"/>
              <w:rPr>
                <w:rFonts w:ascii="Times" w:eastAsia="Times New Roman" w:hAnsi="Times"/>
                <w:sz w:val="20"/>
                <w:szCs w:val="20"/>
                <w:lang w:eastAsia="en-US"/>
              </w:rPr>
            </w:pPr>
            <w:r w:rsidRPr="006B10EF">
              <w:t>79,000</w:t>
            </w:r>
          </w:p>
        </w:tc>
      </w:tr>
      <w:tr w:rsidR="00096CA1" w14:paraId="0AE5D982" w14:textId="1D8B55D4" w:rsidTr="00096CA1">
        <w:tc>
          <w:tcPr>
            <w:tcW w:w="1372" w:type="dxa"/>
            <w:tcBorders>
              <w:left w:val="nil"/>
              <w:bottom w:val="single" w:sz="4" w:space="0" w:color="auto"/>
              <w:right w:val="nil"/>
            </w:tcBorders>
            <w:vAlign w:val="center"/>
          </w:tcPr>
          <w:p w14:paraId="3752EEE9" w14:textId="7080BC7C" w:rsidR="00096CA1" w:rsidRPr="009D6E64" w:rsidRDefault="00096CA1" w:rsidP="00AB29FF">
            <w:r w:rsidRPr="009D6E64">
              <w:t>UOIT</w:t>
            </w:r>
          </w:p>
        </w:tc>
        <w:tc>
          <w:tcPr>
            <w:tcW w:w="2989" w:type="dxa"/>
            <w:gridSpan w:val="2"/>
            <w:tcBorders>
              <w:left w:val="nil"/>
              <w:bottom w:val="single" w:sz="4" w:space="0" w:color="auto"/>
              <w:right w:val="nil"/>
            </w:tcBorders>
            <w:vAlign w:val="center"/>
          </w:tcPr>
          <w:p w14:paraId="4E41FA45" w14:textId="093B0462" w:rsidR="00096CA1" w:rsidRDefault="00096CA1" w:rsidP="00AB29FF">
            <w:r>
              <w:t>Niche business, IT, soc sci</w:t>
            </w:r>
          </w:p>
        </w:tc>
        <w:tc>
          <w:tcPr>
            <w:tcW w:w="2126" w:type="dxa"/>
            <w:tcBorders>
              <w:left w:val="nil"/>
              <w:bottom w:val="single" w:sz="4" w:space="0" w:color="auto"/>
              <w:right w:val="nil"/>
            </w:tcBorders>
            <w:vAlign w:val="center"/>
          </w:tcPr>
          <w:p w14:paraId="542B0D8B" w14:textId="4C8D9578" w:rsidR="00096CA1" w:rsidRDefault="00B36806" w:rsidP="00AB29FF">
            <w:r>
              <w:t>Primarily ugrad</w:t>
            </w:r>
          </w:p>
        </w:tc>
        <w:tc>
          <w:tcPr>
            <w:tcW w:w="1276" w:type="dxa"/>
            <w:tcBorders>
              <w:left w:val="nil"/>
              <w:bottom w:val="single" w:sz="4" w:space="0" w:color="auto"/>
              <w:right w:val="nil"/>
            </w:tcBorders>
            <w:vAlign w:val="center"/>
          </w:tcPr>
          <w:p w14:paraId="12B37D98" w14:textId="2A510F7F" w:rsidR="00096CA1" w:rsidRDefault="00096CA1" w:rsidP="009D6E64">
            <w:pPr>
              <w:jc w:val="right"/>
            </w:pPr>
            <w:r w:rsidRPr="009D6E64">
              <w:t>7,752</w:t>
            </w:r>
          </w:p>
        </w:tc>
        <w:tc>
          <w:tcPr>
            <w:tcW w:w="1559" w:type="dxa"/>
            <w:tcBorders>
              <w:left w:val="nil"/>
              <w:bottom w:val="single" w:sz="4" w:space="0" w:color="auto"/>
              <w:right w:val="nil"/>
            </w:tcBorders>
          </w:tcPr>
          <w:p w14:paraId="45442CB4" w14:textId="77777777" w:rsidR="00096CA1" w:rsidRPr="006B10EF" w:rsidRDefault="006B10EF" w:rsidP="006B10EF">
            <w:pPr>
              <w:jc w:val="right"/>
            </w:pPr>
            <w:r w:rsidRPr="006B10EF">
              <w:t>Oshawa</w:t>
            </w:r>
          </w:p>
          <w:p w14:paraId="0568688E" w14:textId="6373CC75" w:rsidR="006B10EF" w:rsidRPr="006B10EF" w:rsidRDefault="006B10EF" w:rsidP="006B10EF">
            <w:pPr>
              <w:jc w:val="right"/>
              <w:rPr>
                <w:rFonts w:ascii="Times" w:eastAsia="Times New Roman" w:hAnsi="Times"/>
                <w:sz w:val="20"/>
                <w:szCs w:val="20"/>
                <w:lang w:eastAsia="en-US"/>
              </w:rPr>
            </w:pPr>
            <w:r w:rsidRPr="006B10EF">
              <w:t>356,000</w:t>
            </w:r>
          </w:p>
        </w:tc>
      </w:tr>
      <w:tr w:rsidR="00912E6A" w14:paraId="3D3B24BE" w14:textId="6F1FFAD3" w:rsidTr="00912E6A">
        <w:tc>
          <w:tcPr>
            <w:tcW w:w="1372" w:type="dxa"/>
            <w:tcBorders>
              <w:left w:val="nil"/>
              <w:bottom w:val="single" w:sz="12" w:space="0" w:color="auto"/>
              <w:right w:val="nil"/>
            </w:tcBorders>
            <w:vAlign w:val="center"/>
          </w:tcPr>
          <w:p w14:paraId="45BACFC6" w14:textId="082EE58C" w:rsidR="00912E6A" w:rsidRPr="009D6E64" w:rsidRDefault="00912E6A" w:rsidP="00AB29FF">
            <w:r w:rsidRPr="009D6E64">
              <w:t>OCADU</w:t>
            </w:r>
          </w:p>
        </w:tc>
        <w:tc>
          <w:tcPr>
            <w:tcW w:w="2989" w:type="dxa"/>
            <w:gridSpan w:val="2"/>
            <w:tcBorders>
              <w:left w:val="nil"/>
              <w:bottom w:val="single" w:sz="12" w:space="0" w:color="auto"/>
              <w:right w:val="nil"/>
            </w:tcBorders>
            <w:vAlign w:val="center"/>
          </w:tcPr>
          <w:p w14:paraId="62D1E6A5" w14:textId="0454032A" w:rsidR="00912E6A" w:rsidRDefault="00912E6A" w:rsidP="00AB29FF">
            <w:r>
              <w:t>Niche visual arts</w:t>
            </w:r>
          </w:p>
        </w:tc>
        <w:tc>
          <w:tcPr>
            <w:tcW w:w="2126" w:type="dxa"/>
            <w:tcBorders>
              <w:left w:val="nil"/>
              <w:bottom w:val="single" w:sz="12" w:space="0" w:color="auto"/>
              <w:right w:val="nil"/>
            </w:tcBorders>
            <w:vAlign w:val="center"/>
          </w:tcPr>
          <w:p w14:paraId="298A3257" w14:textId="0A5F579F" w:rsidR="00912E6A" w:rsidRDefault="0096056F" w:rsidP="00AB29FF">
            <w:r>
              <w:t>Primarily ugrad</w:t>
            </w:r>
          </w:p>
        </w:tc>
        <w:tc>
          <w:tcPr>
            <w:tcW w:w="1276" w:type="dxa"/>
            <w:tcBorders>
              <w:left w:val="nil"/>
              <w:bottom w:val="single" w:sz="12" w:space="0" w:color="auto"/>
              <w:right w:val="nil"/>
            </w:tcBorders>
            <w:vAlign w:val="center"/>
          </w:tcPr>
          <w:p w14:paraId="35BA0ABF" w14:textId="64399C53" w:rsidR="00912E6A" w:rsidRDefault="00912E6A" w:rsidP="009D6E64">
            <w:pPr>
              <w:jc w:val="right"/>
            </w:pPr>
            <w:r w:rsidRPr="009D6E64">
              <w:t>3,328</w:t>
            </w:r>
          </w:p>
        </w:tc>
        <w:tc>
          <w:tcPr>
            <w:tcW w:w="1559" w:type="dxa"/>
            <w:tcBorders>
              <w:left w:val="nil"/>
              <w:bottom w:val="single" w:sz="12" w:space="0" w:color="auto"/>
              <w:right w:val="nil"/>
            </w:tcBorders>
          </w:tcPr>
          <w:p w14:paraId="072AFB68" w14:textId="77777777" w:rsidR="006B10EF" w:rsidRDefault="006B10EF" w:rsidP="006B10EF">
            <w:pPr>
              <w:jc w:val="right"/>
            </w:pPr>
            <w:r>
              <w:t>Toronto</w:t>
            </w:r>
          </w:p>
          <w:p w14:paraId="38E663D1" w14:textId="16FB7BEE" w:rsidR="00912E6A" w:rsidRPr="009D6E64" w:rsidRDefault="006B10EF" w:rsidP="006B10EF">
            <w:pPr>
              <w:jc w:val="right"/>
            </w:pPr>
            <w:r>
              <w:t>5.6 million</w:t>
            </w:r>
          </w:p>
        </w:tc>
      </w:tr>
      <w:tr w:rsidR="00587B47" w:rsidRPr="00587B47" w14:paraId="3A29EB7F" w14:textId="77777777" w:rsidTr="00587B47">
        <w:tc>
          <w:tcPr>
            <w:tcW w:w="1372" w:type="dxa"/>
            <w:tcBorders>
              <w:top w:val="single" w:sz="12" w:space="0" w:color="auto"/>
              <w:left w:val="nil"/>
              <w:bottom w:val="single" w:sz="12" w:space="0" w:color="auto"/>
              <w:right w:val="nil"/>
            </w:tcBorders>
            <w:vAlign w:val="center"/>
          </w:tcPr>
          <w:p w14:paraId="51D934D6" w14:textId="753C277F" w:rsidR="00587B47" w:rsidRPr="00587B47" w:rsidRDefault="00587B47" w:rsidP="00AB29FF">
            <w:pPr>
              <w:rPr>
                <w:b/>
              </w:rPr>
            </w:pPr>
            <w:r w:rsidRPr="00587B47">
              <w:rPr>
                <w:b/>
              </w:rPr>
              <w:t>Total</w:t>
            </w:r>
          </w:p>
        </w:tc>
        <w:tc>
          <w:tcPr>
            <w:tcW w:w="1535" w:type="dxa"/>
            <w:tcBorders>
              <w:top w:val="single" w:sz="12" w:space="0" w:color="auto"/>
              <w:left w:val="nil"/>
              <w:bottom w:val="single" w:sz="12" w:space="0" w:color="auto"/>
              <w:right w:val="nil"/>
            </w:tcBorders>
            <w:vAlign w:val="center"/>
          </w:tcPr>
          <w:p w14:paraId="14CCC4CB" w14:textId="77777777" w:rsidR="00587B47" w:rsidRPr="00587B47" w:rsidRDefault="00587B47" w:rsidP="00AB29FF">
            <w:pPr>
              <w:rPr>
                <w:b/>
              </w:rPr>
            </w:pPr>
          </w:p>
        </w:tc>
        <w:tc>
          <w:tcPr>
            <w:tcW w:w="1454" w:type="dxa"/>
            <w:tcBorders>
              <w:top w:val="single" w:sz="12" w:space="0" w:color="auto"/>
              <w:left w:val="nil"/>
              <w:bottom w:val="single" w:sz="12" w:space="0" w:color="auto"/>
              <w:right w:val="nil"/>
            </w:tcBorders>
            <w:vAlign w:val="center"/>
          </w:tcPr>
          <w:p w14:paraId="0EA66B6D" w14:textId="77777777" w:rsidR="00587B47" w:rsidRPr="00587B47" w:rsidRDefault="00587B47" w:rsidP="00AB29FF">
            <w:pPr>
              <w:rPr>
                <w:b/>
              </w:rPr>
            </w:pPr>
          </w:p>
        </w:tc>
        <w:tc>
          <w:tcPr>
            <w:tcW w:w="2126" w:type="dxa"/>
            <w:tcBorders>
              <w:top w:val="single" w:sz="12" w:space="0" w:color="auto"/>
              <w:left w:val="nil"/>
              <w:bottom w:val="single" w:sz="12" w:space="0" w:color="auto"/>
              <w:right w:val="nil"/>
            </w:tcBorders>
            <w:vAlign w:val="center"/>
          </w:tcPr>
          <w:p w14:paraId="2173F99C" w14:textId="77777777" w:rsidR="00587B47" w:rsidRPr="00587B47" w:rsidRDefault="00587B47" w:rsidP="00AB29FF">
            <w:pPr>
              <w:rPr>
                <w:b/>
              </w:rPr>
            </w:pPr>
          </w:p>
        </w:tc>
        <w:tc>
          <w:tcPr>
            <w:tcW w:w="1276" w:type="dxa"/>
            <w:tcBorders>
              <w:top w:val="single" w:sz="12" w:space="0" w:color="auto"/>
              <w:left w:val="nil"/>
              <w:bottom w:val="single" w:sz="12" w:space="0" w:color="auto"/>
              <w:right w:val="nil"/>
            </w:tcBorders>
            <w:vAlign w:val="center"/>
          </w:tcPr>
          <w:p w14:paraId="793B944F" w14:textId="73B85D1F" w:rsidR="00587B47" w:rsidRPr="00587B47" w:rsidRDefault="00E95E1B" w:rsidP="009D6E64">
            <w:pPr>
              <w:jc w:val="right"/>
              <w:rPr>
                <w:b/>
              </w:rPr>
            </w:pPr>
            <w:r>
              <w:rPr>
                <w:b/>
              </w:rPr>
              <w:fldChar w:fldCharType="begin"/>
            </w:r>
            <w:r>
              <w:rPr>
                <w:b/>
              </w:rPr>
              <w:instrText xml:space="preserve"> =SUM(ABOVE) </w:instrText>
            </w:r>
            <w:r>
              <w:rPr>
                <w:b/>
              </w:rPr>
              <w:fldChar w:fldCharType="separate"/>
            </w:r>
            <w:r>
              <w:rPr>
                <w:b/>
                <w:noProof/>
              </w:rPr>
              <w:t>392,460</w:t>
            </w:r>
            <w:r>
              <w:rPr>
                <w:b/>
              </w:rPr>
              <w:fldChar w:fldCharType="end"/>
            </w:r>
          </w:p>
        </w:tc>
        <w:tc>
          <w:tcPr>
            <w:tcW w:w="1559" w:type="dxa"/>
            <w:tcBorders>
              <w:top w:val="single" w:sz="12" w:space="0" w:color="auto"/>
              <w:left w:val="nil"/>
              <w:bottom w:val="single" w:sz="12" w:space="0" w:color="auto"/>
              <w:right w:val="nil"/>
            </w:tcBorders>
          </w:tcPr>
          <w:p w14:paraId="7DB59534" w14:textId="77777777" w:rsidR="00587B47" w:rsidRPr="00587B47" w:rsidRDefault="00587B47" w:rsidP="009D6E64">
            <w:pPr>
              <w:jc w:val="right"/>
              <w:rPr>
                <w:b/>
              </w:rPr>
            </w:pPr>
          </w:p>
        </w:tc>
      </w:tr>
    </w:tbl>
    <w:p w14:paraId="0387383A" w14:textId="77777777" w:rsidR="00244D39" w:rsidRPr="00663846" w:rsidRDefault="00244D39" w:rsidP="00663846">
      <w:pPr>
        <w:pStyle w:val="NormalWeb"/>
        <w:shd w:val="clear" w:color="auto" w:fill="FFFFFF"/>
        <w:spacing w:before="0" w:beforeAutospacing="0" w:after="0" w:afterAutospacing="0"/>
        <w:rPr>
          <w:color w:val="000000"/>
        </w:rPr>
      </w:pPr>
    </w:p>
    <w:p w14:paraId="70E40947" w14:textId="28B1F63F" w:rsidR="000628A8" w:rsidRPr="00663846" w:rsidRDefault="000628A8" w:rsidP="00663846">
      <w:pPr>
        <w:pStyle w:val="NormalWeb"/>
        <w:shd w:val="clear" w:color="auto" w:fill="FFFFFF"/>
        <w:spacing w:before="0" w:beforeAutospacing="0" w:after="0" w:afterAutospacing="0"/>
        <w:rPr>
          <w:color w:val="000000"/>
        </w:rPr>
      </w:pPr>
      <w:r w:rsidRPr="00663846">
        <w:rPr>
          <w:color w:val="000000"/>
        </w:rPr>
        <w:t xml:space="preserve">Source: Weingarten and colleagues (2013: </w:t>
      </w:r>
      <w:r w:rsidR="000456DD" w:rsidRPr="00663846">
        <w:rPr>
          <w:color w:val="000000"/>
        </w:rPr>
        <w:t>9</w:t>
      </w:r>
      <w:r w:rsidRPr="00663846">
        <w:rPr>
          <w:color w:val="000000"/>
        </w:rPr>
        <w:t>), enrolments from Common University Data Ontario</w:t>
      </w:r>
      <w:r w:rsidR="00663846">
        <w:rPr>
          <w:color w:val="000000"/>
        </w:rPr>
        <w:t>.</w:t>
      </w:r>
    </w:p>
    <w:p w14:paraId="55299252" w14:textId="77777777" w:rsidR="007D318B" w:rsidRDefault="007D318B" w:rsidP="00663846">
      <w:pPr>
        <w:pStyle w:val="NormalWeb"/>
        <w:shd w:val="clear" w:color="auto" w:fill="FFFFFF"/>
        <w:spacing w:before="0" w:beforeAutospacing="0" w:after="0" w:afterAutospacing="0"/>
        <w:rPr>
          <w:color w:val="000000"/>
        </w:rPr>
      </w:pPr>
    </w:p>
    <w:p w14:paraId="15764B64" w14:textId="77777777" w:rsidR="001D7A45" w:rsidRDefault="001D7A45" w:rsidP="00663846">
      <w:pPr>
        <w:pStyle w:val="NormalWeb"/>
        <w:shd w:val="clear" w:color="auto" w:fill="FFFFFF"/>
        <w:spacing w:before="0" w:beforeAutospacing="0" w:after="0" w:afterAutospacing="0"/>
        <w:rPr>
          <w:color w:val="000000"/>
        </w:rPr>
      </w:pPr>
    </w:p>
    <w:p w14:paraId="4E62E163" w14:textId="1FF858E0" w:rsidR="007D318B" w:rsidRDefault="00740703" w:rsidP="00B71C5F">
      <w:pPr>
        <w:pStyle w:val="NormalWeb"/>
        <w:shd w:val="clear" w:color="auto" w:fill="FFFFFF"/>
        <w:spacing w:before="0" w:beforeAutospacing="0" w:after="0" w:afterAutospacing="0"/>
        <w:rPr>
          <w:color w:val="000000"/>
        </w:rPr>
      </w:pPr>
      <w:r>
        <w:rPr>
          <w:color w:val="000000"/>
        </w:rPr>
        <w:t xml:space="preserve">Ontario’s public colleges are shown in </w:t>
      </w:r>
      <w:r w:rsidR="00AA0830">
        <w:rPr>
          <w:color w:val="000000"/>
        </w:rPr>
        <w:fldChar w:fldCharType="begin"/>
      </w:r>
      <w:r w:rsidR="00AA0830">
        <w:rPr>
          <w:color w:val="000000"/>
        </w:rPr>
        <w:instrText xml:space="preserve"> REF _Ref255744005 \h </w:instrText>
      </w:r>
      <w:r w:rsidR="00AA0830">
        <w:rPr>
          <w:color w:val="000000"/>
        </w:rPr>
      </w:r>
      <w:r w:rsidR="00AA0830">
        <w:rPr>
          <w:color w:val="000000"/>
        </w:rPr>
        <w:fldChar w:fldCharType="separate"/>
      </w:r>
      <w:r w:rsidR="00B83978" w:rsidRPr="00AA0830">
        <w:rPr>
          <w:color w:val="000000"/>
        </w:rPr>
        <w:t xml:space="preserve">Table </w:t>
      </w:r>
      <w:r w:rsidR="00B83978">
        <w:rPr>
          <w:noProof/>
          <w:color w:val="000000"/>
        </w:rPr>
        <w:t>7</w:t>
      </w:r>
      <w:r w:rsidR="00AA0830">
        <w:rPr>
          <w:color w:val="000000"/>
        </w:rPr>
        <w:fldChar w:fldCharType="end"/>
      </w:r>
      <w:r w:rsidRPr="00740703">
        <w:rPr>
          <w:color w:val="000000"/>
        </w:rPr>
        <w:t>.</w:t>
      </w:r>
      <w:r>
        <w:rPr>
          <w:color w:val="000000"/>
        </w:rPr>
        <w:t xml:space="preserve"> </w:t>
      </w:r>
      <w:r w:rsidR="00F74742">
        <w:rPr>
          <w:color w:val="000000"/>
        </w:rPr>
        <w:t>The table shows grants from the federal government’s college and community innovation program which funds colleges</w:t>
      </w:r>
      <w:r w:rsidR="00F74742" w:rsidRPr="00F74742">
        <w:rPr>
          <w:color w:val="000000"/>
        </w:rPr>
        <w:t xml:space="preserve"> competitive</w:t>
      </w:r>
      <w:r w:rsidR="00F74742">
        <w:rPr>
          <w:color w:val="000000"/>
        </w:rPr>
        <w:t>ly</w:t>
      </w:r>
      <w:r w:rsidR="00F74742" w:rsidRPr="00F74742">
        <w:rPr>
          <w:color w:val="000000"/>
        </w:rPr>
        <w:t xml:space="preserve"> to strengthen </w:t>
      </w:r>
      <w:r w:rsidR="00F74742">
        <w:rPr>
          <w:color w:val="000000"/>
        </w:rPr>
        <w:t>their applied research and conduct</w:t>
      </w:r>
      <w:r w:rsidR="00F74742" w:rsidRPr="00F74742">
        <w:rPr>
          <w:color w:val="000000"/>
        </w:rPr>
        <w:t xml:space="preserve"> applied research and </w:t>
      </w:r>
      <w:r w:rsidR="00F74742">
        <w:rPr>
          <w:color w:val="000000"/>
        </w:rPr>
        <w:t xml:space="preserve">technology transfer </w:t>
      </w:r>
      <w:r w:rsidR="00F74742" w:rsidRPr="00F74742">
        <w:rPr>
          <w:color w:val="000000"/>
        </w:rPr>
        <w:t xml:space="preserve">in collaboration with, and </w:t>
      </w:r>
      <w:r w:rsidR="00F74742">
        <w:rPr>
          <w:color w:val="000000"/>
        </w:rPr>
        <w:t xml:space="preserve">to the benefit of, industry, </w:t>
      </w:r>
      <w:r w:rsidR="00F74742" w:rsidRPr="00F74742">
        <w:rPr>
          <w:color w:val="000000"/>
        </w:rPr>
        <w:t>particular</w:t>
      </w:r>
      <w:r w:rsidR="00F74742">
        <w:rPr>
          <w:color w:val="000000"/>
        </w:rPr>
        <w:t>ly</w:t>
      </w:r>
      <w:r w:rsidR="00F74742" w:rsidRPr="00F74742">
        <w:rPr>
          <w:color w:val="000000"/>
        </w:rPr>
        <w:t xml:space="preserve"> sma</w:t>
      </w:r>
      <w:r w:rsidR="00F74742">
        <w:rPr>
          <w:color w:val="000000"/>
        </w:rPr>
        <w:t>ll and medium sized enterprises (</w:t>
      </w:r>
      <w:r w:rsidR="00F74742" w:rsidRPr="00F74742">
        <w:rPr>
          <w:color w:val="000000"/>
        </w:rPr>
        <w:t>Natural Sciences and Engineering Research Council of Canada</w:t>
      </w:r>
      <w:r w:rsidR="00F74742">
        <w:rPr>
          <w:color w:val="000000"/>
        </w:rPr>
        <w:t xml:space="preserve">, </w:t>
      </w:r>
      <w:r w:rsidR="00F74742" w:rsidRPr="00F74742">
        <w:rPr>
          <w:color w:val="000000"/>
        </w:rPr>
        <w:t>2014)</w:t>
      </w:r>
      <w:r w:rsidR="00F74742">
        <w:rPr>
          <w:color w:val="000000"/>
        </w:rPr>
        <w:t>.</w:t>
      </w:r>
      <w:r w:rsidR="00E95E1B">
        <w:rPr>
          <w:color w:val="000000"/>
        </w:rPr>
        <w:t xml:space="preserve"> Half of Ontario’s public community colleges offer baccalaureates, altho in small numbers.</w:t>
      </w:r>
    </w:p>
    <w:p w14:paraId="426D7D97" w14:textId="77777777" w:rsidR="007D318B" w:rsidRDefault="007D318B" w:rsidP="00B71C5F">
      <w:pPr>
        <w:pStyle w:val="NormalWeb"/>
        <w:shd w:val="clear" w:color="auto" w:fill="FFFFFF"/>
        <w:spacing w:before="0" w:beforeAutospacing="0" w:after="0" w:afterAutospacing="0"/>
        <w:rPr>
          <w:color w:val="000000"/>
        </w:rPr>
      </w:pPr>
    </w:p>
    <w:p w14:paraId="7636EFC6" w14:textId="77777777" w:rsidR="001D7A45" w:rsidRDefault="001D7A45" w:rsidP="00B71C5F">
      <w:pPr>
        <w:pStyle w:val="NormalWeb"/>
        <w:shd w:val="clear" w:color="auto" w:fill="FFFFFF"/>
        <w:spacing w:before="0" w:beforeAutospacing="0" w:after="0" w:afterAutospacing="0"/>
        <w:rPr>
          <w:color w:val="000000"/>
        </w:rPr>
      </w:pPr>
    </w:p>
    <w:p w14:paraId="349984D4" w14:textId="77777777" w:rsidR="001D7A45" w:rsidRDefault="001D7A45" w:rsidP="00B71C5F">
      <w:pPr>
        <w:pStyle w:val="NormalWeb"/>
        <w:shd w:val="clear" w:color="auto" w:fill="FFFFFF"/>
        <w:spacing w:before="0" w:beforeAutospacing="0" w:after="0" w:afterAutospacing="0"/>
        <w:rPr>
          <w:color w:val="000000"/>
        </w:rPr>
      </w:pPr>
    </w:p>
    <w:p w14:paraId="00898346" w14:textId="77777777" w:rsidR="001D7A45" w:rsidRDefault="001D7A45" w:rsidP="00B71C5F">
      <w:pPr>
        <w:pStyle w:val="NormalWeb"/>
        <w:shd w:val="clear" w:color="auto" w:fill="FFFFFF"/>
        <w:spacing w:before="0" w:beforeAutospacing="0" w:after="0" w:afterAutospacing="0"/>
        <w:rPr>
          <w:color w:val="000000"/>
        </w:rPr>
      </w:pPr>
    </w:p>
    <w:p w14:paraId="367DC822" w14:textId="77777777" w:rsidR="001D7A45" w:rsidRDefault="001D7A45" w:rsidP="00B71C5F">
      <w:pPr>
        <w:pStyle w:val="NormalWeb"/>
        <w:shd w:val="clear" w:color="auto" w:fill="FFFFFF"/>
        <w:spacing w:before="0" w:beforeAutospacing="0" w:after="0" w:afterAutospacing="0"/>
        <w:rPr>
          <w:color w:val="000000"/>
        </w:rPr>
      </w:pPr>
    </w:p>
    <w:p w14:paraId="656AAA7B" w14:textId="77777777" w:rsidR="001D7A45" w:rsidRDefault="001D7A45" w:rsidP="00B71C5F">
      <w:pPr>
        <w:pStyle w:val="NormalWeb"/>
        <w:shd w:val="clear" w:color="auto" w:fill="FFFFFF"/>
        <w:spacing w:before="0" w:beforeAutospacing="0" w:after="0" w:afterAutospacing="0"/>
        <w:rPr>
          <w:color w:val="000000"/>
        </w:rPr>
      </w:pPr>
    </w:p>
    <w:p w14:paraId="06EA9009" w14:textId="77777777" w:rsidR="00B83978" w:rsidRDefault="00B83978" w:rsidP="00AA0830">
      <w:pPr>
        <w:pStyle w:val="NormalWeb"/>
        <w:shd w:val="clear" w:color="auto" w:fill="FFFFFF"/>
        <w:spacing w:before="0" w:beforeAutospacing="0" w:after="0" w:afterAutospacing="0"/>
        <w:jc w:val="center"/>
        <w:rPr>
          <w:color w:val="000000"/>
        </w:rPr>
      </w:pPr>
      <w:bookmarkStart w:id="5" w:name="_Ref255744005"/>
    </w:p>
    <w:p w14:paraId="4A9426A8" w14:textId="6139936C" w:rsidR="00663846" w:rsidRDefault="00AA0830" w:rsidP="00AA0830">
      <w:pPr>
        <w:pStyle w:val="NormalWeb"/>
        <w:shd w:val="clear" w:color="auto" w:fill="FFFFFF"/>
        <w:spacing w:before="0" w:beforeAutospacing="0" w:after="0" w:afterAutospacing="0"/>
        <w:jc w:val="center"/>
        <w:rPr>
          <w:color w:val="000000"/>
        </w:rPr>
      </w:pPr>
      <w:r w:rsidRPr="00AA0830">
        <w:rPr>
          <w:color w:val="000000"/>
        </w:rPr>
        <w:t xml:space="preserve">Table </w:t>
      </w:r>
      <w:r w:rsidRPr="00AA0830">
        <w:rPr>
          <w:color w:val="000000"/>
        </w:rPr>
        <w:fldChar w:fldCharType="begin"/>
      </w:r>
      <w:r w:rsidRPr="00AA0830">
        <w:rPr>
          <w:color w:val="000000"/>
        </w:rPr>
        <w:instrText xml:space="preserve"> SEQ Table \* ARABIC </w:instrText>
      </w:r>
      <w:r w:rsidRPr="00AA0830">
        <w:rPr>
          <w:color w:val="000000"/>
        </w:rPr>
        <w:fldChar w:fldCharType="separate"/>
      </w:r>
      <w:r w:rsidR="00B83978">
        <w:rPr>
          <w:noProof/>
          <w:color w:val="000000"/>
        </w:rPr>
        <w:t>7</w:t>
      </w:r>
      <w:r w:rsidRPr="00AA0830">
        <w:rPr>
          <w:color w:val="000000"/>
        </w:rPr>
        <w:fldChar w:fldCharType="end"/>
      </w:r>
      <w:bookmarkEnd w:id="5"/>
      <w:r w:rsidR="00663846" w:rsidRPr="00663846">
        <w:rPr>
          <w:color w:val="000000"/>
        </w:rPr>
        <w:t>: Ontario’s public community colleges</w:t>
      </w:r>
    </w:p>
    <w:p w14:paraId="0B1631EF" w14:textId="77777777" w:rsidR="00663846" w:rsidRDefault="00663846" w:rsidP="00B71C5F">
      <w:pPr>
        <w:pStyle w:val="NormalWeb"/>
        <w:shd w:val="clear" w:color="auto" w:fill="FFFFFF"/>
        <w:spacing w:before="0" w:beforeAutospacing="0" w:after="0" w:afterAutospacing="0"/>
        <w:rPr>
          <w:color w:val="000000"/>
        </w:rPr>
      </w:pPr>
    </w:p>
    <w:tbl>
      <w:tblPr>
        <w:tblW w:w="9654" w:type="dxa"/>
        <w:tblInd w:w="93" w:type="dxa"/>
        <w:tblLook w:val="04A0" w:firstRow="1" w:lastRow="0" w:firstColumn="1" w:lastColumn="0" w:noHBand="0" w:noVBand="1"/>
      </w:tblPr>
      <w:tblGrid>
        <w:gridCol w:w="1712"/>
        <w:gridCol w:w="1551"/>
        <w:gridCol w:w="1172"/>
        <w:gridCol w:w="1260"/>
        <w:gridCol w:w="1456"/>
        <w:gridCol w:w="2503"/>
      </w:tblGrid>
      <w:tr w:rsidR="00663846" w:rsidRPr="00663846" w14:paraId="17BF81CF" w14:textId="77777777" w:rsidTr="00B83978">
        <w:trPr>
          <w:tblHeader/>
        </w:trPr>
        <w:tc>
          <w:tcPr>
            <w:tcW w:w="1712" w:type="dxa"/>
            <w:vMerge w:val="restart"/>
            <w:tcBorders>
              <w:top w:val="single" w:sz="12" w:space="0" w:color="auto"/>
              <w:left w:val="nil"/>
              <w:right w:val="nil"/>
            </w:tcBorders>
            <w:shd w:val="clear" w:color="auto" w:fill="auto"/>
            <w:vAlign w:val="center"/>
            <w:hideMark/>
          </w:tcPr>
          <w:p w14:paraId="376BD317" w14:textId="7AC08F7C" w:rsidR="00663846" w:rsidRPr="00663846" w:rsidRDefault="00663846" w:rsidP="00663846">
            <w:pPr>
              <w:rPr>
                <w:rFonts w:eastAsia="Times New Roman"/>
                <w:b/>
                <w:color w:val="000000"/>
                <w:lang w:eastAsia="en-US"/>
              </w:rPr>
            </w:pPr>
            <w:r w:rsidRPr="00663846">
              <w:rPr>
                <w:rFonts w:eastAsia="Times New Roman"/>
                <w:b/>
                <w:color w:val="000000"/>
                <w:lang w:eastAsia="en-US"/>
              </w:rPr>
              <w:t>College</w:t>
            </w:r>
          </w:p>
        </w:tc>
        <w:tc>
          <w:tcPr>
            <w:tcW w:w="1551" w:type="dxa"/>
            <w:vMerge w:val="restart"/>
            <w:tcBorders>
              <w:top w:val="single" w:sz="12" w:space="0" w:color="auto"/>
              <w:left w:val="nil"/>
              <w:right w:val="nil"/>
            </w:tcBorders>
            <w:shd w:val="clear" w:color="auto" w:fill="auto"/>
            <w:vAlign w:val="center"/>
            <w:hideMark/>
          </w:tcPr>
          <w:p w14:paraId="3E8DE3C2" w14:textId="62316868" w:rsidR="00663846" w:rsidRPr="00663846" w:rsidRDefault="00663846" w:rsidP="00663846">
            <w:pPr>
              <w:rPr>
                <w:rFonts w:eastAsia="Times New Roman"/>
                <w:b/>
                <w:color w:val="000000"/>
                <w:lang w:eastAsia="en-US"/>
              </w:rPr>
            </w:pPr>
            <w:r w:rsidRPr="00663846">
              <w:rPr>
                <w:rFonts w:eastAsia="Times New Roman"/>
                <w:b/>
                <w:color w:val="000000"/>
                <w:lang w:eastAsia="en-US"/>
              </w:rPr>
              <w:t>Innovation $</w:t>
            </w:r>
          </w:p>
        </w:tc>
        <w:tc>
          <w:tcPr>
            <w:tcW w:w="3888" w:type="dxa"/>
            <w:gridSpan w:val="3"/>
            <w:tcBorders>
              <w:top w:val="single" w:sz="12" w:space="0" w:color="auto"/>
              <w:left w:val="nil"/>
              <w:bottom w:val="single" w:sz="4" w:space="0" w:color="auto"/>
              <w:right w:val="nil"/>
            </w:tcBorders>
            <w:shd w:val="clear" w:color="auto" w:fill="auto"/>
            <w:vAlign w:val="center"/>
            <w:hideMark/>
          </w:tcPr>
          <w:p w14:paraId="6467717A" w14:textId="77777777" w:rsidR="00663846" w:rsidRPr="00663846" w:rsidRDefault="00663846" w:rsidP="000B2F0C">
            <w:pPr>
              <w:jc w:val="right"/>
              <w:rPr>
                <w:rFonts w:eastAsia="Times New Roman"/>
                <w:b/>
                <w:color w:val="000000"/>
                <w:lang w:eastAsia="en-US"/>
              </w:rPr>
            </w:pPr>
            <w:r w:rsidRPr="00663846">
              <w:rPr>
                <w:rFonts w:eastAsia="Times New Roman"/>
                <w:b/>
                <w:color w:val="000000"/>
                <w:lang w:eastAsia="en-US"/>
              </w:rPr>
              <w:t>Students</w:t>
            </w:r>
          </w:p>
        </w:tc>
        <w:tc>
          <w:tcPr>
            <w:tcW w:w="2503" w:type="dxa"/>
            <w:vMerge w:val="restart"/>
            <w:tcBorders>
              <w:top w:val="single" w:sz="12" w:space="0" w:color="auto"/>
              <w:left w:val="nil"/>
              <w:right w:val="nil"/>
            </w:tcBorders>
            <w:shd w:val="clear" w:color="auto" w:fill="auto"/>
            <w:vAlign w:val="center"/>
            <w:hideMark/>
          </w:tcPr>
          <w:p w14:paraId="6F7933A7" w14:textId="06631208" w:rsidR="00663846" w:rsidRPr="00663846" w:rsidRDefault="000B2F0C" w:rsidP="000B2F0C">
            <w:pPr>
              <w:jc w:val="right"/>
              <w:rPr>
                <w:rFonts w:eastAsia="Times New Roman"/>
                <w:b/>
                <w:color w:val="000000"/>
                <w:lang w:eastAsia="en-US"/>
              </w:rPr>
            </w:pPr>
            <w:r w:rsidRPr="008A76CD">
              <w:rPr>
                <w:b/>
              </w:rPr>
              <w:t>Census metropolitan area</w:t>
            </w:r>
          </w:p>
        </w:tc>
      </w:tr>
      <w:tr w:rsidR="00663846" w:rsidRPr="00663846" w14:paraId="513C6163" w14:textId="77777777" w:rsidTr="00B83978">
        <w:trPr>
          <w:trHeight w:val="320"/>
          <w:tblHeader/>
        </w:trPr>
        <w:tc>
          <w:tcPr>
            <w:tcW w:w="1712" w:type="dxa"/>
            <w:vMerge/>
            <w:tcBorders>
              <w:left w:val="nil"/>
              <w:bottom w:val="single" w:sz="12" w:space="0" w:color="auto"/>
              <w:right w:val="nil"/>
            </w:tcBorders>
            <w:shd w:val="clear" w:color="auto" w:fill="auto"/>
            <w:vAlign w:val="center"/>
            <w:hideMark/>
          </w:tcPr>
          <w:p w14:paraId="28E3AAA8" w14:textId="45AB5560" w:rsidR="00663846" w:rsidRPr="00663846" w:rsidRDefault="00663846" w:rsidP="00663846">
            <w:pPr>
              <w:rPr>
                <w:rFonts w:eastAsia="Times New Roman"/>
                <w:b/>
                <w:color w:val="000000"/>
                <w:lang w:eastAsia="en-US"/>
              </w:rPr>
            </w:pPr>
          </w:p>
        </w:tc>
        <w:tc>
          <w:tcPr>
            <w:tcW w:w="1551" w:type="dxa"/>
            <w:vMerge/>
            <w:tcBorders>
              <w:left w:val="nil"/>
              <w:bottom w:val="single" w:sz="12" w:space="0" w:color="auto"/>
              <w:right w:val="nil"/>
            </w:tcBorders>
            <w:shd w:val="clear" w:color="auto" w:fill="auto"/>
            <w:vAlign w:val="center"/>
            <w:hideMark/>
          </w:tcPr>
          <w:p w14:paraId="4116BB4F" w14:textId="7F7491CF" w:rsidR="00663846" w:rsidRPr="00663846" w:rsidRDefault="00663846" w:rsidP="00663846">
            <w:pPr>
              <w:rPr>
                <w:rFonts w:eastAsia="Times New Roman"/>
                <w:b/>
                <w:color w:val="000000"/>
                <w:lang w:eastAsia="en-US"/>
              </w:rPr>
            </w:pPr>
          </w:p>
        </w:tc>
        <w:tc>
          <w:tcPr>
            <w:tcW w:w="1172" w:type="dxa"/>
            <w:tcBorders>
              <w:top w:val="single" w:sz="4" w:space="0" w:color="auto"/>
              <w:left w:val="nil"/>
              <w:bottom w:val="single" w:sz="12" w:space="0" w:color="auto"/>
              <w:right w:val="nil"/>
            </w:tcBorders>
            <w:shd w:val="clear" w:color="auto" w:fill="auto"/>
            <w:vAlign w:val="center"/>
            <w:hideMark/>
          </w:tcPr>
          <w:p w14:paraId="201C9C18" w14:textId="77777777" w:rsidR="00663846" w:rsidRPr="00663846" w:rsidRDefault="00663846" w:rsidP="00663846">
            <w:pPr>
              <w:jc w:val="right"/>
              <w:rPr>
                <w:rFonts w:eastAsia="Times New Roman"/>
                <w:b/>
                <w:color w:val="000000"/>
                <w:lang w:eastAsia="en-US"/>
              </w:rPr>
            </w:pPr>
            <w:r w:rsidRPr="00663846">
              <w:rPr>
                <w:rFonts w:eastAsia="Times New Roman"/>
                <w:b/>
                <w:color w:val="000000"/>
                <w:lang w:eastAsia="en-US"/>
              </w:rPr>
              <w:t>Full time</w:t>
            </w:r>
          </w:p>
        </w:tc>
        <w:tc>
          <w:tcPr>
            <w:tcW w:w="1260" w:type="dxa"/>
            <w:tcBorders>
              <w:top w:val="single" w:sz="4" w:space="0" w:color="auto"/>
              <w:left w:val="nil"/>
              <w:bottom w:val="single" w:sz="12" w:space="0" w:color="auto"/>
              <w:right w:val="nil"/>
            </w:tcBorders>
            <w:shd w:val="clear" w:color="auto" w:fill="auto"/>
            <w:vAlign w:val="center"/>
            <w:hideMark/>
          </w:tcPr>
          <w:p w14:paraId="049D08C2" w14:textId="77777777" w:rsidR="00663846" w:rsidRPr="00663846" w:rsidRDefault="00663846" w:rsidP="000B2F0C">
            <w:pPr>
              <w:jc w:val="right"/>
              <w:rPr>
                <w:rFonts w:eastAsia="Times New Roman"/>
                <w:b/>
                <w:color w:val="000000"/>
                <w:lang w:eastAsia="en-US"/>
              </w:rPr>
            </w:pPr>
            <w:r w:rsidRPr="00663846">
              <w:rPr>
                <w:rFonts w:eastAsia="Times New Roman"/>
                <w:b/>
                <w:color w:val="000000"/>
                <w:lang w:eastAsia="en-US"/>
              </w:rPr>
              <w:t>Degree</w:t>
            </w:r>
          </w:p>
        </w:tc>
        <w:tc>
          <w:tcPr>
            <w:tcW w:w="1456" w:type="dxa"/>
            <w:tcBorders>
              <w:top w:val="single" w:sz="4" w:space="0" w:color="auto"/>
              <w:left w:val="nil"/>
              <w:bottom w:val="single" w:sz="12" w:space="0" w:color="auto"/>
              <w:right w:val="nil"/>
            </w:tcBorders>
            <w:shd w:val="clear" w:color="auto" w:fill="auto"/>
            <w:vAlign w:val="center"/>
            <w:hideMark/>
          </w:tcPr>
          <w:p w14:paraId="1765AB42" w14:textId="77777777" w:rsidR="00663846" w:rsidRPr="00663846" w:rsidRDefault="00663846" w:rsidP="000B2F0C">
            <w:pPr>
              <w:jc w:val="right"/>
              <w:rPr>
                <w:rFonts w:eastAsia="Times New Roman"/>
                <w:b/>
                <w:color w:val="000000"/>
                <w:lang w:eastAsia="en-US"/>
              </w:rPr>
            </w:pPr>
            <w:r w:rsidRPr="00663846">
              <w:rPr>
                <w:rFonts w:eastAsia="Times New Roman"/>
                <w:b/>
                <w:color w:val="000000"/>
                <w:lang w:eastAsia="en-US"/>
              </w:rPr>
              <w:t>Apprentices</w:t>
            </w:r>
          </w:p>
        </w:tc>
        <w:tc>
          <w:tcPr>
            <w:tcW w:w="2503" w:type="dxa"/>
            <w:vMerge/>
            <w:tcBorders>
              <w:left w:val="nil"/>
              <w:bottom w:val="single" w:sz="12" w:space="0" w:color="auto"/>
              <w:right w:val="nil"/>
            </w:tcBorders>
            <w:shd w:val="clear" w:color="auto" w:fill="auto"/>
            <w:vAlign w:val="center"/>
            <w:hideMark/>
          </w:tcPr>
          <w:p w14:paraId="3267BFF8" w14:textId="2F97B560" w:rsidR="00663846" w:rsidRPr="00663846" w:rsidRDefault="00663846" w:rsidP="000B2F0C">
            <w:pPr>
              <w:jc w:val="right"/>
              <w:rPr>
                <w:rFonts w:eastAsia="Times New Roman"/>
                <w:b/>
                <w:color w:val="000000"/>
                <w:lang w:eastAsia="en-US"/>
              </w:rPr>
            </w:pPr>
          </w:p>
        </w:tc>
      </w:tr>
      <w:tr w:rsidR="00663846" w:rsidRPr="00663846" w14:paraId="33A063B4" w14:textId="77777777" w:rsidTr="00663846">
        <w:trPr>
          <w:trHeight w:val="320"/>
        </w:trPr>
        <w:tc>
          <w:tcPr>
            <w:tcW w:w="1712" w:type="dxa"/>
            <w:tcBorders>
              <w:top w:val="single" w:sz="12" w:space="0" w:color="auto"/>
              <w:left w:val="nil"/>
              <w:bottom w:val="single" w:sz="8" w:space="0" w:color="auto"/>
              <w:right w:val="nil"/>
            </w:tcBorders>
            <w:shd w:val="clear" w:color="auto" w:fill="auto"/>
            <w:vAlign w:val="center"/>
            <w:hideMark/>
          </w:tcPr>
          <w:p w14:paraId="1470FA12"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Humber</w:t>
            </w:r>
          </w:p>
        </w:tc>
        <w:tc>
          <w:tcPr>
            <w:tcW w:w="1551" w:type="dxa"/>
            <w:tcBorders>
              <w:top w:val="single" w:sz="12" w:space="0" w:color="auto"/>
              <w:left w:val="nil"/>
              <w:bottom w:val="single" w:sz="8" w:space="0" w:color="auto"/>
              <w:right w:val="nil"/>
            </w:tcBorders>
            <w:shd w:val="clear" w:color="auto" w:fill="auto"/>
            <w:vAlign w:val="center"/>
            <w:hideMark/>
          </w:tcPr>
          <w:p w14:paraId="4D36359E"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0</w:t>
            </w:r>
          </w:p>
        </w:tc>
        <w:tc>
          <w:tcPr>
            <w:tcW w:w="1172" w:type="dxa"/>
            <w:tcBorders>
              <w:top w:val="single" w:sz="12" w:space="0" w:color="auto"/>
              <w:left w:val="nil"/>
              <w:bottom w:val="single" w:sz="8" w:space="0" w:color="auto"/>
              <w:right w:val="nil"/>
            </w:tcBorders>
            <w:shd w:val="clear" w:color="auto" w:fill="auto"/>
            <w:vAlign w:val="center"/>
            <w:hideMark/>
          </w:tcPr>
          <w:p w14:paraId="33B3C744"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18,489</w:t>
            </w:r>
          </w:p>
        </w:tc>
        <w:tc>
          <w:tcPr>
            <w:tcW w:w="1260" w:type="dxa"/>
            <w:tcBorders>
              <w:top w:val="single" w:sz="12" w:space="0" w:color="auto"/>
              <w:left w:val="nil"/>
              <w:bottom w:val="single" w:sz="8" w:space="0" w:color="auto"/>
              <w:right w:val="nil"/>
            </w:tcBorders>
            <w:shd w:val="clear" w:color="auto" w:fill="auto"/>
            <w:vAlign w:val="center"/>
            <w:hideMark/>
          </w:tcPr>
          <w:p w14:paraId="12F03F84"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1,982</w:t>
            </w:r>
          </w:p>
        </w:tc>
        <w:tc>
          <w:tcPr>
            <w:tcW w:w="1456" w:type="dxa"/>
            <w:tcBorders>
              <w:top w:val="single" w:sz="12" w:space="0" w:color="auto"/>
              <w:left w:val="nil"/>
              <w:bottom w:val="single" w:sz="8" w:space="0" w:color="auto"/>
              <w:right w:val="nil"/>
            </w:tcBorders>
            <w:shd w:val="clear" w:color="auto" w:fill="auto"/>
            <w:vAlign w:val="center"/>
            <w:hideMark/>
          </w:tcPr>
          <w:p w14:paraId="25C16D31"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2,439</w:t>
            </w:r>
          </w:p>
        </w:tc>
        <w:tc>
          <w:tcPr>
            <w:tcW w:w="2503" w:type="dxa"/>
            <w:tcBorders>
              <w:top w:val="single" w:sz="12" w:space="0" w:color="auto"/>
              <w:left w:val="nil"/>
              <w:bottom w:val="single" w:sz="8" w:space="0" w:color="auto"/>
              <w:right w:val="nil"/>
            </w:tcBorders>
            <w:shd w:val="clear" w:color="auto" w:fill="auto"/>
            <w:vAlign w:val="center"/>
            <w:hideMark/>
          </w:tcPr>
          <w:p w14:paraId="23748075" w14:textId="77777777" w:rsidR="000B2F0C" w:rsidRDefault="00663846" w:rsidP="000B2F0C">
            <w:pPr>
              <w:jc w:val="right"/>
            </w:pPr>
            <w:r w:rsidRPr="00663846">
              <w:rPr>
                <w:rFonts w:eastAsia="Times New Roman"/>
                <w:color w:val="000000"/>
                <w:lang w:eastAsia="en-US"/>
              </w:rPr>
              <w:t> </w:t>
            </w:r>
            <w:r w:rsidR="000B2F0C">
              <w:t>Toronto</w:t>
            </w:r>
          </w:p>
          <w:p w14:paraId="0886BA29" w14:textId="4770BC21" w:rsidR="00663846" w:rsidRPr="000B2F0C" w:rsidRDefault="000B2F0C" w:rsidP="000B2F0C">
            <w:pPr>
              <w:jc w:val="right"/>
            </w:pPr>
            <w:r>
              <w:t>5.6 million</w:t>
            </w:r>
          </w:p>
        </w:tc>
      </w:tr>
      <w:tr w:rsidR="00663846" w:rsidRPr="00663846" w14:paraId="64F91A0A"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2B1DBBB2"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Seneca</w:t>
            </w:r>
          </w:p>
        </w:tc>
        <w:tc>
          <w:tcPr>
            <w:tcW w:w="1551" w:type="dxa"/>
            <w:tcBorders>
              <w:top w:val="nil"/>
              <w:left w:val="nil"/>
              <w:bottom w:val="single" w:sz="8" w:space="0" w:color="auto"/>
              <w:right w:val="nil"/>
            </w:tcBorders>
            <w:shd w:val="clear" w:color="auto" w:fill="auto"/>
            <w:vAlign w:val="center"/>
            <w:hideMark/>
          </w:tcPr>
          <w:p w14:paraId="2EB66432"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1,374,113</w:t>
            </w:r>
          </w:p>
        </w:tc>
        <w:tc>
          <w:tcPr>
            <w:tcW w:w="1172" w:type="dxa"/>
            <w:tcBorders>
              <w:top w:val="nil"/>
              <w:left w:val="nil"/>
              <w:bottom w:val="single" w:sz="8" w:space="0" w:color="auto"/>
              <w:right w:val="nil"/>
            </w:tcBorders>
            <w:shd w:val="clear" w:color="auto" w:fill="auto"/>
            <w:vAlign w:val="center"/>
            <w:hideMark/>
          </w:tcPr>
          <w:p w14:paraId="262EA569"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17,240</w:t>
            </w:r>
          </w:p>
        </w:tc>
        <w:tc>
          <w:tcPr>
            <w:tcW w:w="1260" w:type="dxa"/>
            <w:tcBorders>
              <w:top w:val="nil"/>
              <w:left w:val="nil"/>
              <w:bottom w:val="single" w:sz="8" w:space="0" w:color="auto"/>
              <w:right w:val="nil"/>
            </w:tcBorders>
            <w:shd w:val="clear" w:color="auto" w:fill="auto"/>
            <w:vAlign w:val="center"/>
            <w:hideMark/>
          </w:tcPr>
          <w:p w14:paraId="668C7F6A"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1,144</w:t>
            </w:r>
          </w:p>
        </w:tc>
        <w:tc>
          <w:tcPr>
            <w:tcW w:w="1456" w:type="dxa"/>
            <w:tcBorders>
              <w:top w:val="nil"/>
              <w:left w:val="nil"/>
              <w:bottom w:val="single" w:sz="8" w:space="0" w:color="auto"/>
              <w:right w:val="nil"/>
            </w:tcBorders>
            <w:shd w:val="clear" w:color="auto" w:fill="auto"/>
            <w:vAlign w:val="center"/>
            <w:hideMark/>
          </w:tcPr>
          <w:p w14:paraId="3700F048"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2,920</w:t>
            </w:r>
          </w:p>
        </w:tc>
        <w:tc>
          <w:tcPr>
            <w:tcW w:w="2503" w:type="dxa"/>
            <w:tcBorders>
              <w:top w:val="nil"/>
              <w:left w:val="nil"/>
              <w:bottom w:val="single" w:sz="8" w:space="0" w:color="auto"/>
              <w:right w:val="nil"/>
            </w:tcBorders>
            <w:shd w:val="clear" w:color="auto" w:fill="auto"/>
            <w:vAlign w:val="center"/>
            <w:hideMark/>
          </w:tcPr>
          <w:p w14:paraId="6121725A" w14:textId="77777777" w:rsidR="000B2F0C" w:rsidRDefault="00663846" w:rsidP="000B2F0C">
            <w:pPr>
              <w:jc w:val="right"/>
            </w:pPr>
            <w:r w:rsidRPr="00663846">
              <w:rPr>
                <w:rFonts w:eastAsia="Times New Roman"/>
                <w:color w:val="000000"/>
                <w:lang w:eastAsia="en-US"/>
              </w:rPr>
              <w:t> </w:t>
            </w:r>
            <w:r w:rsidR="000B2F0C">
              <w:t>Toronto</w:t>
            </w:r>
          </w:p>
          <w:p w14:paraId="3A0ECDC7" w14:textId="5B2CD630" w:rsidR="00663846" w:rsidRPr="00663846" w:rsidRDefault="000B2F0C" w:rsidP="000B2F0C">
            <w:pPr>
              <w:jc w:val="right"/>
              <w:rPr>
                <w:rFonts w:eastAsia="Times New Roman"/>
                <w:color w:val="000000"/>
                <w:lang w:eastAsia="en-US"/>
              </w:rPr>
            </w:pPr>
            <w:r>
              <w:t>5.6 million</w:t>
            </w:r>
          </w:p>
        </w:tc>
      </w:tr>
      <w:tr w:rsidR="00663846" w:rsidRPr="00663846" w14:paraId="22C5BE94"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4368EE2A"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George Brown</w:t>
            </w:r>
          </w:p>
        </w:tc>
        <w:tc>
          <w:tcPr>
            <w:tcW w:w="1551" w:type="dxa"/>
            <w:tcBorders>
              <w:top w:val="nil"/>
              <w:left w:val="nil"/>
              <w:bottom w:val="single" w:sz="8" w:space="0" w:color="auto"/>
              <w:right w:val="nil"/>
            </w:tcBorders>
            <w:shd w:val="clear" w:color="auto" w:fill="auto"/>
            <w:vAlign w:val="center"/>
            <w:hideMark/>
          </w:tcPr>
          <w:p w14:paraId="2B8596C1"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1,298,052</w:t>
            </w:r>
          </w:p>
        </w:tc>
        <w:tc>
          <w:tcPr>
            <w:tcW w:w="1172" w:type="dxa"/>
            <w:tcBorders>
              <w:top w:val="nil"/>
              <w:left w:val="nil"/>
              <w:bottom w:val="single" w:sz="8" w:space="0" w:color="auto"/>
              <w:right w:val="nil"/>
            </w:tcBorders>
            <w:shd w:val="clear" w:color="auto" w:fill="auto"/>
            <w:vAlign w:val="center"/>
            <w:hideMark/>
          </w:tcPr>
          <w:p w14:paraId="3EF52741"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15,446</w:t>
            </w:r>
          </w:p>
        </w:tc>
        <w:tc>
          <w:tcPr>
            <w:tcW w:w="1260" w:type="dxa"/>
            <w:tcBorders>
              <w:top w:val="nil"/>
              <w:left w:val="nil"/>
              <w:bottom w:val="single" w:sz="8" w:space="0" w:color="auto"/>
              <w:right w:val="nil"/>
            </w:tcBorders>
            <w:shd w:val="clear" w:color="auto" w:fill="auto"/>
            <w:vAlign w:val="center"/>
            <w:hideMark/>
          </w:tcPr>
          <w:p w14:paraId="5DEFCAD8"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614</w:t>
            </w:r>
          </w:p>
        </w:tc>
        <w:tc>
          <w:tcPr>
            <w:tcW w:w="1456" w:type="dxa"/>
            <w:tcBorders>
              <w:top w:val="nil"/>
              <w:left w:val="nil"/>
              <w:bottom w:val="single" w:sz="8" w:space="0" w:color="auto"/>
              <w:right w:val="nil"/>
            </w:tcBorders>
            <w:shd w:val="clear" w:color="auto" w:fill="auto"/>
            <w:vAlign w:val="center"/>
            <w:hideMark/>
          </w:tcPr>
          <w:p w14:paraId="53459F54"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1,545</w:t>
            </w:r>
          </w:p>
        </w:tc>
        <w:tc>
          <w:tcPr>
            <w:tcW w:w="2503" w:type="dxa"/>
            <w:tcBorders>
              <w:top w:val="nil"/>
              <w:left w:val="nil"/>
              <w:bottom w:val="single" w:sz="8" w:space="0" w:color="auto"/>
              <w:right w:val="nil"/>
            </w:tcBorders>
            <w:shd w:val="clear" w:color="auto" w:fill="auto"/>
            <w:vAlign w:val="center"/>
            <w:hideMark/>
          </w:tcPr>
          <w:p w14:paraId="04BE57CD" w14:textId="77777777" w:rsidR="000B2F0C" w:rsidRDefault="000B2F0C" w:rsidP="000B2F0C">
            <w:pPr>
              <w:jc w:val="right"/>
            </w:pPr>
            <w:r>
              <w:t>Toronto</w:t>
            </w:r>
          </w:p>
          <w:p w14:paraId="30FE31B5" w14:textId="153B1244" w:rsidR="00663846" w:rsidRPr="00663846" w:rsidRDefault="000B2F0C" w:rsidP="000B2F0C">
            <w:pPr>
              <w:jc w:val="right"/>
              <w:rPr>
                <w:rFonts w:eastAsia="Times New Roman"/>
                <w:color w:val="000000"/>
                <w:lang w:eastAsia="en-US"/>
              </w:rPr>
            </w:pPr>
            <w:r>
              <w:t>5.6 million</w:t>
            </w:r>
          </w:p>
        </w:tc>
      </w:tr>
      <w:tr w:rsidR="00663846" w:rsidRPr="00663846" w14:paraId="00E5191B"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172CF4BB"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 xml:space="preserve">Algonquin </w:t>
            </w:r>
          </w:p>
        </w:tc>
        <w:tc>
          <w:tcPr>
            <w:tcW w:w="1551" w:type="dxa"/>
            <w:tcBorders>
              <w:top w:val="nil"/>
              <w:left w:val="nil"/>
              <w:bottom w:val="single" w:sz="8" w:space="0" w:color="auto"/>
              <w:right w:val="nil"/>
            </w:tcBorders>
            <w:shd w:val="clear" w:color="auto" w:fill="auto"/>
            <w:vAlign w:val="center"/>
            <w:hideMark/>
          </w:tcPr>
          <w:p w14:paraId="32B56FEB"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250,000</w:t>
            </w:r>
          </w:p>
        </w:tc>
        <w:tc>
          <w:tcPr>
            <w:tcW w:w="1172" w:type="dxa"/>
            <w:tcBorders>
              <w:top w:val="nil"/>
              <w:left w:val="nil"/>
              <w:bottom w:val="single" w:sz="8" w:space="0" w:color="auto"/>
              <w:right w:val="nil"/>
            </w:tcBorders>
            <w:shd w:val="clear" w:color="auto" w:fill="auto"/>
            <w:vAlign w:val="center"/>
            <w:hideMark/>
          </w:tcPr>
          <w:p w14:paraId="759356DF"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15,324</w:t>
            </w:r>
          </w:p>
        </w:tc>
        <w:tc>
          <w:tcPr>
            <w:tcW w:w="1260" w:type="dxa"/>
            <w:tcBorders>
              <w:top w:val="nil"/>
              <w:left w:val="nil"/>
              <w:bottom w:val="single" w:sz="8" w:space="0" w:color="auto"/>
              <w:right w:val="nil"/>
            </w:tcBorders>
            <w:shd w:val="clear" w:color="auto" w:fill="auto"/>
            <w:vAlign w:val="center"/>
            <w:hideMark/>
          </w:tcPr>
          <w:p w14:paraId="3078944F"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262</w:t>
            </w:r>
          </w:p>
        </w:tc>
        <w:tc>
          <w:tcPr>
            <w:tcW w:w="1456" w:type="dxa"/>
            <w:tcBorders>
              <w:top w:val="nil"/>
              <w:left w:val="nil"/>
              <w:bottom w:val="single" w:sz="8" w:space="0" w:color="auto"/>
              <w:right w:val="nil"/>
            </w:tcBorders>
            <w:shd w:val="clear" w:color="auto" w:fill="auto"/>
            <w:vAlign w:val="center"/>
            <w:hideMark/>
          </w:tcPr>
          <w:p w14:paraId="1CDE78BD"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2,566</w:t>
            </w:r>
          </w:p>
        </w:tc>
        <w:tc>
          <w:tcPr>
            <w:tcW w:w="2503" w:type="dxa"/>
            <w:tcBorders>
              <w:top w:val="nil"/>
              <w:left w:val="nil"/>
              <w:bottom w:val="single" w:sz="8" w:space="0" w:color="auto"/>
              <w:right w:val="nil"/>
            </w:tcBorders>
            <w:shd w:val="clear" w:color="auto" w:fill="auto"/>
            <w:vAlign w:val="center"/>
            <w:hideMark/>
          </w:tcPr>
          <w:p w14:paraId="56388FA8" w14:textId="77777777" w:rsidR="000B2F0C" w:rsidRDefault="000B2F0C" w:rsidP="000B2F0C">
            <w:pPr>
              <w:jc w:val="right"/>
            </w:pPr>
            <w:r>
              <w:t>Ottawa</w:t>
            </w:r>
          </w:p>
          <w:p w14:paraId="1DCA9C91" w14:textId="52EC16DE" w:rsidR="00663846" w:rsidRPr="00663846" w:rsidRDefault="000B2F0C" w:rsidP="000B2F0C">
            <w:pPr>
              <w:jc w:val="right"/>
              <w:rPr>
                <w:rFonts w:eastAsia="Times New Roman"/>
                <w:color w:val="000000"/>
                <w:lang w:eastAsia="en-US"/>
              </w:rPr>
            </w:pPr>
            <w:r>
              <w:t>1.2 million</w:t>
            </w:r>
          </w:p>
        </w:tc>
      </w:tr>
      <w:tr w:rsidR="00663846" w:rsidRPr="00663846" w14:paraId="5E209D27"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7000DDA6"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Sheridan</w:t>
            </w:r>
          </w:p>
        </w:tc>
        <w:tc>
          <w:tcPr>
            <w:tcW w:w="1551" w:type="dxa"/>
            <w:tcBorders>
              <w:top w:val="nil"/>
              <w:left w:val="nil"/>
              <w:bottom w:val="single" w:sz="8" w:space="0" w:color="auto"/>
              <w:right w:val="nil"/>
            </w:tcBorders>
            <w:shd w:val="clear" w:color="auto" w:fill="auto"/>
            <w:vAlign w:val="center"/>
            <w:hideMark/>
          </w:tcPr>
          <w:p w14:paraId="6C441606"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1,195,499</w:t>
            </w:r>
          </w:p>
        </w:tc>
        <w:tc>
          <w:tcPr>
            <w:tcW w:w="1172" w:type="dxa"/>
            <w:tcBorders>
              <w:top w:val="nil"/>
              <w:left w:val="nil"/>
              <w:bottom w:val="single" w:sz="8" w:space="0" w:color="auto"/>
              <w:right w:val="nil"/>
            </w:tcBorders>
            <w:shd w:val="clear" w:color="auto" w:fill="auto"/>
            <w:vAlign w:val="center"/>
            <w:hideMark/>
          </w:tcPr>
          <w:p w14:paraId="0B0DDF24"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15,012</w:t>
            </w:r>
          </w:p>
        </w:tc>
        <w:tc>
          <w:tcPr>
            <w:tcW w:w="1260" w:type="dxa"/>
            <w:tcBorders>
              <w:top w:val="nil"/>
              <w:left w:val="nil"/>
              <w:bottom w:val="single" w:sz="8" w:space="0" w:color="auto"/>
              <w:right w:val="nil"/>
            </w:tcBorders>
            <w:shd w:val="clear" w:color="auto" w:fill="auto"/>
            <w:vAlign w:val="center"/>
            <w:hideMark/>
          </w:tcPr>
          <w:p w14:paraId="2E361E67"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1,814</w:t>
            </w:r>
          </w:p>
        </w:tc>
        <w:tc>
          <w:tcPr>
            <w:tcW w:w="1456" w:type="dxa"/>
            <w:tcBorders>
              <w:top w:val="nil"/>
              <w:left w:val="nil"/>
              <w:bottom w:val="single" w:sz="8" w:space="0" w:color="auto"/>
              <w:right w:val="nil"/>
            </w:tcBorders>
            <w:shd w:val="clear" w:color="auto" w:fill="auto"/>
            <w:vAlign w:val="center"/>
            <w:hideMark/>
          </w:tcPr>
          <w:p w14:paraId="6D392357"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418</w:t>
            </w:r>
          </w:p>
        </w:tc>
        <w:tc>
          <w:tcPr>
            <w:tcW w:w="2503" w:type="dxa"/>
            <w:tcBorders>
              <w:top w:val="nil"/>
              <w:left w:val="nil"/>
              <w:bottom w:val="single" w:sz="8" w:space="0" w:color="auto"/>
              <w:right w:val="nil"/>
            </w:tcBorders>
            <w:shd w:val="clear" w:color="auto" w:fill="auto"/>
            <w:vAlign w:val="center"/>
            <w:hideMark/>
          </w:tcPr>
          <w:p w14:paraId="1899E6F1" w14:textId="77777777" w:rsidR="000B2F0C" w:rsidRDefault="000B2F0C" w:rsidP="000B2F0C">
            <w:pPr>
              <w:jc w:val="right"/>
            </w:pPr>
            <w:r>
              <w:t>Toronto</w:t>
            </w:r>
          </w:p>
          <w:p w14:paraId="440DBD36" w14:textId="633D756E" w:rsidR="00663846" w:rsidRPr="00663846" w:rsidRDefault="000B2F0C" w:rsidP="000B2F0C">
            <w:pPr>
              <w:jc w:val="right"/>
              <w:rPr>
                <w:rFonts w:eastAsia="Times New Roman"/>
                <w:color w:val="000000"/>
                <w:lang w:eastAsia="en-US"/>
              </w:rPr>
            </w:pPr>
            <w:r>
              <w:t>5.6 million</w:t>
            </w:r>
          </w:p>
        </w:tc>
      </w:tr>
      <w:tr w:rsidR="00663846" w:rsidRPr="00663846" w14:paraId="27FB453D"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2439C786"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Fanshawe</w:t>
            </w:r>
          </w:p>
        </w:tc>
        <w:tc>
          <w:tcPr>
            <w:tcW w:w="1551" w:type="dxa"/>
            <w:tcBorders>
              <w:top w:val="nil"/>
              <w:left w:val="nil"/>
              <w:bottom w:val="single" w:sz="8" w:space="0" w:color="auto"/>
              <w:right w:val="nil"/>
            </w:tcBorders>
            <w:shd w:val="clear" w:color="auto" w:fill="auto"/>
            <w:vAlign w:val="center"/>
            <w:hideMark/>
          </w:tcPr>
          <w:p w14:paraId="57A817CD"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774,984</w:t>
            </w:r>
          </w:p>
        </w:tc>
        <w:tc>
          <w:tcPr>
            <w:tcW w:w="1172" w:type="dxa"/>
            <w:tcBorders>
              <w:top w:val="nil"/>
              <w:left w:val="nil"/>
              <w:bottom w:val="single" w:sz="8" w:space="0" w:color="auto"/>
              <w:right w:val="nil"/>
            </w:tcBorders>
            <w:shd w:val="clear" w:color="auto" w:fill="auto"/>
            <w:vAlign w:val="center"/>
            <w:hideMark/>
          </w:tcPr>
          <w:p w14:paraId="66A5EF2F"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13,191</w:t>
            </w:r>
          </w:p>
        </w:tc>
        <w:tc>
          <w:tcPr>
            <w:tcW w:w="1260" w:type="dxa"/>
            <w:tcBorders>
              <w:top w:val="nil"/>
              <w:left w:val="nil"/>
              <w:bottom w:val="single" w:sz="8" w:space="0" w:color="auto"/>
              <w:right w:val="nil"/>
            </w:tcBorders>
            <w:shd w:val="clear" w:color="auto" w:fill="auto"/>
            <w:vAlign w:val="center"/>
            <w:hideMark/>
          </w:tcPr>
          <w:p w14:paraId="06D5C481"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117</w:t>
            </w:r>
          </w:p>
        </w:tc>
        <w:tc>
          <w:tcPr>
            <w:tcW w:w="1456" w:type="dxa"/>
            <w:tcBorders>
              <w:top w:val="nil"/>
              <w:left w:val="nil"/>
              <w:bottom w:val="single" w:sz="8" w:space="0" w:color="auto"/>
              <w:right w:val="nil"/>
            </w:tcBorders>
            <w:shd w:val="clear" w:color="auto" w:fill="auto"/>
            <w:vAlign w:val="center"/>
            <w:hideMark/>
          </w:tcPr>
          <w:p w14:paraId="51E047F4"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3,331</w:t>
            </w:r>
          </w:p>
        </w:tc>
        <w:tc>
          <w:tcPr>
            <w:tcW w:w="2503" w:type="dxa"/>
            <w:tcBorders>
              <w:top w:val="nil"/>
              <w:left w:val="nil"/>
              <w:bottom w:val="single" w:sz="8" w:space="0" w:color="auto"/>
              <w:right w:val="nil"/>
            </w:tcBorders>
            <w:shd w:val="clear" w:color="auto" w:fill="auto"/>
            <w:vAlign w:val="center"/>
            <w:hideMark/>
          </w:tcPr>
          <w:p w14:paraId="3C1B19FD" w14:textId="77777777" w:rsidR="000B2F0C" w:rsidRDefault="000B2F0C" w:rsidP="000B2F0C">
            <w:pPr>
              <w:jc w:val="right"/>
            </w:pPr>
            <w:r>
              <w:t>London</w:t>
            </w:r>
          </w:p>
          <w:p w14:paraId="2435333C" w14:textId="76C0D573" w:rsidR="00663846" w:rsidRPr="00663846" w:rsidRDefault="000B2F0C" w:rsidP="000B2F0C">
            <w:pPr>
              <w:jc w:val="right"/>
              <w:rPr>
                <w:rFonts w:eastAsia="Times New Roman"/>
                <w:color w:val="000000"/>
                <w:lang w:eastAsia="en-US"/>
              </w:rPr>
            </w:pPr>
            <w:r>
              <w:t>0.36 million</w:t>
            </w:r>
          </w:p>
        </w:tc>
      </w:tr>
      <w:tr w:rsidR="00663846" w:rsidRPr="00663846" w14:paraId="47C2EF95"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6D9BF0BA"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Mohawk</w:t>
            </w:r>
          </w:p>
        </w:tc>
        <w:tc>
          <w:tcPr>
            <w:tcW w:w="1551" w:type="dxa"/>
            <w:tcBorders>
              <w:top w:val="nil"/>
              <w:left w:val="nil"/>
              <w:bottom w:val="single" w:sz="8" w:space="0" w:color="auto"/>
              <w:right w:val="nil"/>
            </w:tcBorders>
            <w:shd w:val="clear" w:color="auto" w:fill="auto"/>
            <w:vAlign w:val="center"/>
            <w:hideMark/>
          </w:tcPr>
          <w:p w14:paraId="126EF8EC"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1,000,000</w:t>
            </w:r>
          </w:p>
        </w:tc>
        <w:tc>
          <w:tcPr>
            <w:tcW w:w="1172" w:type="dxa"/>
            <w:tcBorders>
              <w:top w:val="nil"/>
              <w:left w:val="nil"/>
              <w:bottom w:val="single" w:sz="8" w:space="0" w:color="auto"/>
              <w:right w:val="nil"/>
            </w:tcBorders>
            <w:shd w:val="clear" w:color="auto" w:fill="auto"/>
            <w:vAlign w:val="center"/>
            <w:hideMark/>
          </w:tcPr>
          <w:p w14:paraId="46503832"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10,016</w:t>
            </w:r>
          </w:p>
        </w:tc>
        <w:tc>
          <w:tcPr>
            <w:tcW w:w="1260" w:type="dxa"/>
            <w:tcBorders>
              <w:top w:val="nil"/>
              <w:left w:val="nil"/>
              <w:bottom w:val="single" w:sz="8" w:space="0" w:color="auto"/>
              <w:right w:val="nil"/>
            </w:tcBorders>
            <w:shd w:val="clear" w:color="auto" w:fill="auto"/>
            <w:vAlign w:val="center"/>
            <w:hideMark/>
          </w:tcPr>
          <w:p w14:paraId="0E88B46D"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0</w:t>
            </w:r>
          </w:p>
        </w:tc>
        <w:tc>
          <w:tcPr>
            <w:tcW w:w="1456" w:type="dxa"/>
            <w:tcBorders>
              <w:top w:val="nil"/>
              <w:left w:val="nil"/>
              <w:bottom w:val="single" w:sz="8" w:space="0" w:color="auto"/>
              <w:right w:val="nil"/>
            </w:tcBorders>
            <w:shd w:val="clear" w:color="auto" w:fill="auto"/>
            <w:vAlign w:val="center"/>
            <w:hideMark/>
          </w:tcPr>
          <w:p w14:paraId="2D7E8068"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3,501</w:t>
            </w:r>
          </w:p>
        </w:tc>
        <w:tc>
          <w:tcPr>
            <w:tcW w:w="2503" w:type="dxa"/>
            <w:tcBorders>
              <w:top w:val="nil"/>
              <w:left w:val="nil"/>
              <w:bottom w:val="single" w:sz="8" w:space="0" w:color="auto"/>
              <w:right w:val="nil"/>
            </w:tcBorders>
            <w:shd w:val="clear" w:color="auto" w:fill="auto"/>
            <w:vAlign w:val="center"/>
            <w:hideMark/>
          </w:tcPr>
          <w:p w14:paraId="485EE53E" w14:textId="77777777" w:rsidR="006E5BE1" w:rsidRDefault="006E5BE1" w:rsidP="006E5BE1">
            <w:pPr>
              <w:jc w:val="right"/>
            </w:pPr>
            <w:r>
              <w:t>Hamilton</w:t>
            </w:r>
          </w:p>
          <w:p w14:paraId="6910E235" w14:textId="7B8D5117" w:rsidR="00663846" w:rsidRPr="00663846" w:rsidRDefault="006E5BE1" w:rsidP="006E5BE1">
            <w:pPr>
              <w:jc w:val="right"/>
              <w:rPr>
                <w:rFonts w:eastAsia="Times New Roman"/>
                <w:color w:val="000000"/>
                <w:lang w:eastAsia="en-US"/>
              </w:rPr>
            </w:pPr>
            <w:r>
              <w:t>0.7 million</w:t>
            </w:r>
          </w:p>
        </w:tc>
      </w:tr>
      <w:tr w:rsidR="00663846" w:rsidRPr="00663846" w14:paraId="5231F19C"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1C6E094A"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Centennial</w:t>
            </w:r>
          </w:p>
        </w:tc>
        <w:tc>
          <w:tcPr>
            <w:tcW w:w="1551" w:type="dxa"/>
            <w:tcBorders>
              <w:top w:val="nil"/>
              <w:left w:val="nil"/>
              <w:bottom w:val="single" w:sz="8" w:space="0" w:color="auto"/>
              <w:right w:val="nil"/>
            </w:tcBorders>
            <w:shd w:val="clear" w:color="auto" w:fill="auto"/>
            <w:vAlign w:val="center"/>
            <w:hideMark/>
          </w:tcPr>
          <w:p w14:paraId="44670D69"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250,000</w:t>
            </w:r>
          </w:p>
        </w:tc>
        <w:tc>
          <w:tcPr>
            <w:tcW w:w="1172" w:type="dxa"/>
            <w:tcBorders>
              <w:top w:val="nil"/>
              <w:left w:val="nil"/>
              <w:bottom w:val="single" w:sz="8" w:space="0" w:color="auto"/>
              <w:right w:val="nil"/>
            </w:tcBorders>
            <w:shd w:val="clear" w:color="auto" w:fill="auto"/>
            <w:vAlign w:val="center"/>
            <w:hideMark/>
          </w:tcPr>
          <w:p w14:paraId="407A5175"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9,923</w:t>
            </w:r>
          </w:p>
        </w:tc>
        <w:tc>
          <w:tcPr>
            <w:tcW w:w="1260" w:type="dxa"/>
            <w:tcBorders>
              <w:top w:val="nil"/>
              <w:left w:val="nil"/>
              <w:bottom w:val="single" w:sz="8" w:space="0" w:color="auto"/>
              <w:right w:val="nil"/>
            </w:tcBorders>
            <w:shd w:val="clear" w:color="auto" w:fill="auto"/>
            <w:vAlign w:val="center"/>
            <w:hideMark/>
          </w:tcPr>
          <w:p w14:paraId="2F93C6F4"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87</w:t>
            </w:r>
          </w:p>
        </w:tc>
        <w:tc>
          <w:tcPr>
            <w:tcW w:w="1456" w:type="dxa"/>
            <w:tcBorders>
              <w:top w:val="nil"/>
              <w:left w:val="nil"/>
              <w:bottom w:val="single" w:sz="8" w:space="0" w:color="auto"/>
              <w:right w:val="nil"/>
            </w:tcBorders>
            <w:shd w:val="clear" w:color="auto" w:fill="auto"/>
            <w:vAlign w:val="center"/>
            <w:hideMark/>
          </w:tcPr>
          <w:p w14:paraId="53444320"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3,691</w:t>
            </w:r>
          </w:p>
        </w:tc>
        <w:tc>
          <w:tcPr>
            <w:tcW w:w="2503" w:type="dxa"/>
            <w:tcBorders>
              <w:top w:val="nil"/>
              <w:left w:val="nil"/>
              <w:bottom w:val="single" w:sz="8" w:space="0" w:color="auto"/>
              <w:right w:val="nil"/>
            </w:tcBorders>
            <w:shd w:val="clear" w:color="auto" w:fill="auto"/>
            <w:vAlign w:val="center"/>
            <w:hideMark/>
          </w:tcPr>
          <w:p w14:paraId="45E97AD8" w14:textId="77777777" w:rsidR="006E5BE1" w:rsidRDefault="006E5BE1" w:rsidP="006E5BE1">
            <w:pPr>
              <w:jc w:val="right"/>
            </w:pPr>
            <w:r>
              <w:t>Toronto</w:t>
            </w:r>
          </w:p>
          <w:p w14:paraId="7CCFFD36" w14:textId="291A843E" w:rsidR="00663846" w:rsidRPr="00663846" w:rsidRDefault="006E5BE1" w:rsidP="006E5BE1">
            <w:pPr>
              <w:jc w:val="right"/>
              <w:rPr>
                <w:rFonts w:eastAsia="Times New Roman"/>
                <w:color w:val="000000"/>
                <w:lang w:eastAsia="en-US"/>
              </w:rPr>
            </w:pPr>
            <w:r>
              <w:t>5.6 million</w:t>
            </w:r>
          </w:p>
        </w:tc>
      </w:tr>
      <w:tr w:rsidR="00663846" w:rsidRPr="00663846" w14:paraId="0BDCED3F"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610EC436"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Georgian</w:t>
            </w:r>
          </w:p>
        </w:tc>
        <w:tc>
          <w:tcPr>
            <w:tcW w:w="1551" w:type="dxa"/>
            <w:tcBorders>
              <w:top w:val="nil"/>
              <w:left w:val="nil"/>
              <w:bottom w:val="single" w:sz="8" w:space="0" w:color="auto"/>
              <w:right w:val="nil"/>
            </w:tcBorders>
            <w:shd w:val="clear" w:color="auto" w:fill="auto"/>
            <w:vAlign w:val="center"/>
            <w:hideMark/>
          </w:tcPr>
          <w:p w14:paraId="0E8A43F5"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100,000</w:t>
            </w:r>
          </w:p>
        </w:tc>
        <w:tc>
          <w:tcPr>
            <w:tcW w:w="1172" w:type="dxa"/>
            <w:tcBorders>
              <w:top w:val="nil"/>
              <w:left w:val="nil"/>
              <w:bottom w:val="single" w:sz="8" w:space="0" w:color="auto"/>
              <w:right w:val="nil"/>
            </w:tcBorders>
            <w:shd w:val="clear" w:color="auto" w:fill="auto"/>
            <w:vAlign w:val="center"/>
            <w:hideMark/>
          </w:tcPr>
          <w:p w14:paraId="695DB68A"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9,192</w:t>
            </w:r>
          </w:p>
        </w:tc>
        <w:tc>
          <w:tcPr>
            <w:tcW w:w="1260" w:type="dxa"/>
            <w:tcBorders>
              <w:top w:val="nil"/>
              <w:left w:val="nil"/>
              <w:bottom w:val="single" w:sz="8" w:space="0" w:color="auto"/>
              <w:right w:val="nil"/>
            </w:tcBorders>
            <w:shd w:val="clear" w:color="auto" w:fill="auto"/>
            <w:vAlign w:val="center"/>
            <w:hideMark/>
          </w:tcPr>
          <w:p w14:paraId="4B30B03D"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281</w:t>
            </w:r>
          </w:p>
        </w:tc>
        <w:tc>
          <w:tcPr>
            <w:tcW w:w="1456" w:type="dxa"/>
            <w:tcBorders>
              <w:top w:val="nil"/>
              <w:left w:val="nil"/>
              <w:bottom w:val="single" w:sz="8" w:space="0" w:color="auto"/>
              <w:right w:val="nil"/>
            </w:tcBorders>
            <w:shd w:val="clear" w:color="auto" w:fill="auto"/>
            <w:vAlign w:val="center"/>
            <w:hideMark/>
          </w:tcPr>
          <w:p w14:paraId="25E5E16A"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1,095</w:t>
            </w:r>
          </w:p>
        </w:tc>
        <w:tc>
          <w:tcPr>
            <w:tcW w:w="2503" w:type="dxa"/>
            <w:tcBorders>
              <w:top w:val="nil"/>
              <w:left w:val="nil"/>
              <w:bottom w:val="single" w:sz="8" w:space="0" w:color="auto"/>
              <w:right w:val="nil"/>
            </w:tcBorders>
            <w:shd w:val="clear" w:color="auto" w:fill="auto"/>
            <w:vAlign w:val="center"/>
            <w:hideMark/>
          </w:tcPr>
          <w:p w14:paraId="7856301D" w14:textId="77777777" w:rsidR="00663846" w:rsidRDefault="006E5BE1" w:rsidP="000B2F0C">
            <w:pPr>
              <w:jc w:val="right"/>
              <w:rPr>
                <w:rFonts w:eastAsia="Times New Roman"/>
                <w:color w:val="000000"/>
                <w:lang w:eastAsia="en-US"/>
              </w:rPr>
            </w:pPr>
            <w:r>
              <w:rPr>
                <w:rFonts w:eastAsia="Times New Roman"/>
                <w:color w:val="000000"/>
                <w:lang w:eastAsia="en-US"/>
              </w:rPr>
              <w:t>Barrie</w:t>
            </w:r>
          </w:p>
          <w:p w14:paraId="7F055D65" w14:textId="6D4C12E4" w:rsidR="006E5BE1" w:rsidRPr="00663846" w:rsidRDefault="006E5BE1" w:rsidP="000B2F0C">
            <w:pPr>
              <w:jc w:val="right"/>
              <w:rPr>
                <w:rFonts w:eastAsia="Times New Roman"/>
                <w:color w:val="000000"/>
                <w:lang w:eastAsia="en-US"/>
              </w:rPr>
            </w:pPr>
            <w:r>
              <w:rPr>
                <w:rFonts w:eastAsia="Times New Roman"/>
                <w:color w:val="000000"/>
                <w:lang w:eastAsia="en-US"/>
              </w:rPr>
              <w:t>187,000</w:t>
            </w:r>
          </w:p>
        </w:tc>
      </w:tr>
      <w:tr w:rsidR="00663846" w:rsidRPr="00663846" w14:paraId="531CD50E"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35863F9C" w14:textId="1D80B27C" w:rsidR="00663846" w:rsidRPr="00663846" w:rsidRDefault="00663846" w:rsidP="00663846">
            <w:pPr>
              <w:rPr>
                <w:rFonts w:eastAsia="Times New Roman"/>
                <w:color w:val="000000"/>
                <w:lang w:eastAsia="en-US"/>
              </w:rPr>
            </w:pPr>
            <w:r w:rsidRPr="00663846">
              <w:rPr>
                <w:rFonts w:eastAsia="Times New Roman"/>
                <w:color w:val="000000"/>
                <w:lang w:eastAsia="en-US"/>
              </w:rPr>
              <w:t>Conestoga</w:t>
            </w:r>
          </w:p>
        </w:tc>
        <w:tc>
          <w:tcPr>
            <w:tcW w:w="1551" w:type="dxa"/>
            <w:tcBorders>
              <w:top w:val="nil"/>
              <w:left w:val="nil"/>
              <w:bottom w:val="single" w:sz="8" w:space="0" w:color="auto"/>
              <w:right w:val="nil"/>
            </w:tcBorders>
            <w:shd w:val="clear" w:color="auto" w:fill="auto"/>
            <w:vAlign w:val="center"/>
            <w:hideMark/>
          </w:tcPr>
          <w:p w14:paraId="7A432693"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49,998</w:t>
            </w:r>
          </w:p>
        </w:tc>
        <w:tc>
          <w:tcPr>
            <w:tcW w:w="1172" w:type="dxa"/>
            <w:tcBorders>
              <w:top w:val="nil"/>
              <w:left w:val="nil"/>
              <w:bottom w:val="single" w:sz="8" w:space="0" w:color="auto"/>
              <w:right w:val="nil"/>
            </w:tcBorders>
            <w:shd w:val="clear" w:color="auto" w:fill="auto"/>
            <w:vAlign w:val="center"/>
            <w:hideMark/>
          </w:tcPr>
          <w:p w14:paraId="7D2BCC9C"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8,375</w:t>
            </w:r>
          </w:p>
        </w:tc>
        <w:tc>
          <w:tcPr>
            <w:tcW w:w="1260" w:type="dxa"/>
            <w:tcBorders>
              <w:top w:val="nil"/>
              <w:left w:val="nil"/>
              <w:bottom w:val="single" w:sz="8" w:space="0" w:color="auto"/>
              <w:right w:val="nil"/>
            </w:tcBorders>
            <w:shd w:val="clear" w:color="auto" w:fill="auto"/>
            <w:vAlign w:val="center"/>
            <w:hideMark/>
          </w:tcPr>
          <w:p w14:paraId="14557C94"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628</w:t>
            </w:r>
          </w:p>
        </w:tc>
        <w:tc>
          <w:tcPr>
            <w:tcW w:w="1456" w:type="dxa"/>
            <w:tcBorders>
              <w:top w:val="nil"/>
              <w:left w:val="nil"/>
              <w:bottom w:val="single" w:sz="8" w:space="0" w:color="auto"/>
              <w:right w:val="nil"/>
            </w:tcBorders>
            <w:shd w:val="clear" w:color="auto" w:fill="auto"/>
            <w:vAlign w:val="center"/>
            <w:hideMark/>
          </w:tcPr>
          <w:p w14:paraId="2E98EFA4"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3,364</w:t>
            </w:r>
          </w:p>
        </w:tc>
        <w:tc>
          <w:tcPr>
            <w:tcW w:w="2503" w:type="dxa"/>
            <w:tcBorders>
              <w:top w:val="nil"/>
              <w:left w:val="nil"/>
              <w:bottom w:val="single" w:sz="8" w:space="0" w:color="auto"/>
              <w:right w:val="nil"/>
            </w:tcBorders>
            <w:shd w:val="clear" w:color="auto" w:fill="auto"/>
            <w:vAlign w:val="center"/>
            <w:hideMark/>
          </w:tcPr>
          <w:p w14:paraId="3542C0FE" w14:textId="77777777" w:rsidR="006E5BE1" w:rsidRDefault="006E5BE1" w:rsidP="006E5BE1">
            <w:pPr>
              <w:jc w:val="right"/>
            </w:pPr>
            <w:r>
              <w:t>Waterloo</w:t>
            </w:r>
          </w:p>
          <w:p w14:paraId="3C2E310F" w14:textId="5CF2A3AB" w:rsidR="00663846" w:rsidRPr="00663846" w:rsidRDefault="006E5BE1" w:rsidP="006E5BE1">
            <w:pPr>
              <w:jc w:val="right"/>
              <w:rPr>
                <w:rFonts w:eastAsia="Times New Roman"/>
                <w:color w:val="000000"/>
                <w:lang w:eastAsia="en-US"/>
              </w:rPr>
            </w:pPr>
            <w:r>
              <w:t>0.5 million</w:t>
            </w:r>
          </w:p>
        </w:tc>
      </w:tr>
      <w:tr w:rsidR="00663846" w:rsidRPr="00663846" w14:paraId="254A8B2A"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1426544D"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Durham</w:t>
            </w:r>
          </w:p>
        </w:tc>
        <w:tc>
          <w:tcPr>
            <w:tcW w:w="1551" w:type="dxa"/>
            <w:tcBorders>
              <w:top w:val="nil"/>
              <w:left w:val="nil"/>
              <w:bottom w:val="single" w:sz="8" w:space="0" w:color="auto"/>
              <w:right w:val="nil"/>
            </w:tcBorders>
            <w:shd w:val="clear" w:color="auto" w:fill="auto"/>
            <w:vAlign w:val="center"/>
            <w:hideMark/>
          </w:tcPr>
          <w:p w14:paraId="1D7CDC20"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100,000</w:t>
            </w:r>
          </w:p>
        </w:tc>
        <w:tc>
          <w:tcPr>
            <w:tcW w:w="1172" w:type="dxa"/>
            <w:tcBorders>
              <w:top w:val="nil"/>
              <w:left w:val="nil"/>
              <w:bottom w:val="single" w:sz="8" w:space="0" w:color="auto"/>
              <w:right w:val="nil"/>
            </w:tcBorders>
            <w:shd w:val="clear" w:color="auto" w:fill="auto"/>
            <w:vAlign w:val="center"/>
            <w:hideMark/>
          </w:tcPr>
          <w:p w14:paraId="5A157C68"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8,252</w:t>
            </w:r>
          </w:p>
        </w:tc>
        <w:tc>
          <w:tcPr>
            <w:tcW w:w="1260" w:type="dxa"/>
            <w:tcBorders>
              <w:top w:val="nil"/>
              <w:left w:val="nil"/>
              <w:bottom w:val="single" w:sz="8" w:space="0" w:color="auto"/>
              <w:right w:val="nil"/>
            </w:tcBorders>
            <w:shd w:val="clear" w:color="auto" w:fill="auto"/>
            <w:vAlign w:val="center"/>
            <w:hideMark/>
          </w:tcPr>
          <w:p w14:paraId="0552983F"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0</w:t>
            </w:r>
          </w:p>
        </w:tc>
        <w:tc>
          <w:tcPr>
            <w:tcW w:w="1456" w:type="dxa"/>
            <w:tcBorders>
              <w:top w:val="nil"/>
              <w:left w:val="nil"/>
              <w:bottom w:val="single" w:sz="8" w:space="0" w:color="auto"/>
              <w:right w:val="nil"/>
            </w:tcBorders>
            <w:shd w:val="clear" w:color="auto" w:fill="auto"/>
            <w:vAlign w:val="center"/>
            <w:hideMark/>
          </w:tcPr>
          <w:p w14:paraId="4CA76308"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1,134</w:t>
            </w:r>
          </w:p>
        </w:tc>
        <w:tc>
          <w:tcPr>
            <w:tcW w:w="2503" w:type="dxa"/>
            <w:tcBorders>
              <w:top w:val="nil"/>
              <w:left w:val="nil"/>
              <w:bottom w:val="single" w:sz="8" w:space="0" w:color="auto"/>
              <w:right w:val="nil"/>
            </w:tcBorders>
            <w:shd w:val="clear" w:color="auto" w:fill="auto"/>
            <w:vAlign w:val="center"/>
            <w:hideMark/>
          </w:tcPr>
          <w:p w14:paraId="3E5868BF" w14:textId="77777777" w:rsidR="00663846" w:rsidRPr="006E5BE1" w:rsidRDefault="006E5BE1" w:rsidP="006E5BE1">
            <w:pPr>
              <w:jc w:val="right"/>
            </w:pPr>
            <w:r w:rsidRPr="006E5BE1">
              <w:t>Oshawa</w:t>
            </w:r>
          </w:p>
          <w:p w14:paraId="4C8F01F2" w14:textId="60B72B32" w:rsidR="006E5BE1" w:rsidRPr="006E5BE1" w:rsidRDefault="006E5BE1" w:rsidP="006E5BE1">
            <w:pPr>
              <w:jc w:val="right"/>
              <w:rPr>
                <w:rFonts w:ascii="Times" w:eastAsia="Times New Roman" w:hAnsi="Times"/>
                <w:sz w:val="20"/>
                <w:szCs w:val="20"/>
                <w:lang w:eastAsia="en-US"/>
              </w:rPr>
            </w:pPr>
            <w:r w:rsidRPr="006E5BE1">
              <w:t>356,000</w:t>
            </w:r>
          </w:p>
        </w:tc>
      </w:tr>
      <w:tr w:rsidR="00663846" w:rsidRPr="00663846" w14:paraId="64D6BC65"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37C99377"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Niagara</w:t>
            </w:r>
          </w:p>
        </w:tc>
        <w:tc>
          <w:tcPr>
            <w:tcW w:w="1551" w:type="dxa"/>
            <w:tcBorders>
              <w:top w:val="nil"/>
              <w:left w:val="nil"/>
              <w:bottom w:val="single" w:sz="8" w:space="0" w:color="auto"/>
              <w:right w:val="nil"/>
            </w:tcBorders>
            <w:shd w:val="clear" w:color="auto" w:fill="auto"/>
            <w:vAlign w:val="center"/>
            <w:hideMark/>
          </w:tcPr>
          <w:p w14:paraId="4B2B0177"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900,000</w:t>
            </w:r>
          </w:p>
        </w:tc>
        <w:tc>
          <w:tcPr>
            <w:tcW w:w="1172" w:type="dxa"/>
            <w:tcBorders>
              <w:top w:val="nil"/>
              <w:left w:val="nil"/>
              <w:bottom w:val="single" w:sz="8" w:space="0" w:color="auto"/>
              <w:right w:val="nil"/>
            </w:tcBorders>
            <w:shd w:val="clear" w:color="auto" w:fill="auto"/>
            <w:vAlign w:val="center"/>
            <w:hideMark/>
          </w:tcPr>
          <w:p w14:paraId="4BE405C6"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7,840</w:t>
            </w:r>
          </w:p>
        </w:tc>
        <w:tc>
          <w:tcPr>
            <w:tcW w:w="1260" w:type="dxa"/>
            <w:tcBorders>
              <w:top w:val="nil"/>
              <w:left w:val="nil"/>
              <w:bottom w:val="single" w:sz="8" w:space="0" w:color="auto"/>
              <w:right w:val="nil"/>
            </w:tcBorders>
            <w:shd w:val="clear" w:color="auto" w:fill="auto"/>
            <w:vAlign w:val="center"/>
            <w:hideMark/>
          </w:tcPr>
          <w:p w14:paraId="05BE6B14"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138</w:t>
            </w:r>
          </w:p>
        </w:tc>
        <w:tc>
          <w:tcPr>
            <w:tcW w:w="1456" w:type="dxa"/>
            <w:tcBorders>
              <w:top w:val="nil"/>
              <w:left w:val="nil"/>
              <w:bottom w:val="single" w:sz="8" w:space="0" w:color="auto"/>
              <w:right w:val="nil"/>
            </w:tcBorders>
            <w:shd w:val="clear" w:color="auto" w:fill="auto"/>
            <w:vAlign w:val="center"/>
            <w:hideMark/>
          </w:tcPr>
          <w:p w14:paraId="751E9230"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3,083</w:t>
            </w:r>
          </w:p>
        </w:tc>
        <w:tc>
          <w:tcPr>
            <w:tcW w:w="2503" w:type="dxa"/>
            <w:tcBorders>
              <w:top w:val="nil"/>
              <w:left w:val="nil"/>
              <w:bottom w:val="single" w:sz="8" w:space="0" w:color="auto"/>
              <w:right w:val="nil"/>
            </w:tcBorders>
            <w:shd w:val="clear" w:color="auto" w:fill="auto"/>
            <w:vAlign w:val="center"/>
            <w:hideMark/>
          </w:tcPr>
          <w:p w14:paraId="475129B4" w14:textId="77777777" w:rsidR="00663846" w:rsidRDefault="006E5BE1" w:rsidP="000B2F0C">
            <w:pPr>
              <w:jc w:val="right"/>
              <w:rPr>
                <w:rFonts w:eastAsia="Times New Roman"/>
                <w:color w:val="000000"/>
                <w:lang w:eastAsia="en-US"/>
              </w:rPr>
            </w:pPr>
            <w:r w:rsidRPr="00663846">
              <w:rPr>
                <w:rFonts w:eastAsia="Times New Roman"/>
                <w:color w:val="000000"/>
                <w:lang w:eastAsia="en-US"/>
              </w:rPr>
              <w:t>Niagara</w:t>
            </w:r>
          </w:p>
          <w:p w14:paraId="30DB36EC" w14:textId="0FB9AD25" w:rsidR="006E5BE1" w:rsidRPr="00663846" w:rsidRDefault="006E5BE1" w:rsidP="000B2F0C">
            <w:pPr>
              <w:jc w:val="right"/>
              <w:rPr>
                <w:rFonts w:eastAsia="Times New Roman"/>
                <w:color w:val="000000"/>
                <w:lang w:eastAsia="en-US"/>
              </w:rPr>
            </w:pPr>
            <w:r>
              <w:rPr>
                <w:rFonts w:eastAsia="Times New Roman"/>
                <w:color w:val="000000"/>
                <w:lang w:eastAsia="en-US"/>
              </w:rPr>
              <w:t>430,000</w:t>
            </w:r>
          </w:p>
        </w:tc>
      </w:tr>
      <w:tr w:rsidR="00663846" w:rsidRPr="00663846" w14:paraId="3B6AD91E"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1D066588"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St Clair</w:t>
            </w:r>
          </w:p>
        </w:tc>
        <w:tc>
          <w:tcPr>
            <w:tcW w:w="1551" w:type="dxa"/>
            <w:tcBorders>
              <w:top w:val="nil"/>
              <w:left w:val="nil"/>
              <w:bottom w:val="single" w:sz="8" w:space="0" w:color="auto"/>
              <w:right w:val="nil"/>
            </w:tcBorders>
            <w:shd w:val="clear" w:color="auto" w:fill="auto"/>
            <w:vAlign w:val="center"/>
            <w:hideMark/>
          </w:tcPr>
          <w:p w14:paraId="1971C908"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0</w:t>
            </w:r>
          </w:p>
        </w:tc>
        <w:tc>
          <w:tcPr>
            <w:tcW w:w="1172" w:type="dxa"/>
            <w:tcBorders>
              <w:top w:val="nil"/>
              <w:left w:val="nil"/>
              <w:bottom w:val="single" w:sz="8" w:space="0" w:color="auto"/>
              <w:right w:val="nil"/>
            </w:tcBorders>
            <w:shd w:val="clear" w:color="auto" w:fill="auto"/>
            <w:vAlign w:val="center"/>
            <w:hideMark/>
          </w:tcPr>
          <w:p w14:paraId="3D39FB58"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7,752</w:t>
            </w:r>
          </w:p>
        </w:tc>
        <w:tc>
          <w:tcPr>
            <w:tcW w:w="1260" w:type="dxa"/>
            <w:tcBorders>
              <w:top w:val="nil"/>
              <w:left w:val="nil"/>
              <w:bottom w:val="single" w:sz="8" w:space="0" w:color="auto"/>
              <w:right w:val="nil"/>
            </w:tcBorders>
            <w:shd w:val="clear" w:color="auto" w:fill="auto"/>
            <w:vAlign w:val="center"/>
            <w:hideMark/>
          </w:tcPr>
          <w:p w14:paraId="746C24B9"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0</w:t>
            </w:r>
          </w:p>
        </w:tc>
        <w:tc>
          <w:tcPr>
            <w:tcW w:w="1456" w:type="dxa"/>
            <w:tcBorders>
              <w:top w:val="nil"/>
              <w:left w:val="nil"/>
              <w:bottom w:val="single" w:sz="8" w:space="0" w:color="auto"/>
              <w:right w:val="nil"/>
            </w:tcBorders>
            <w:shd w:val="clear" w:color="auto" w:fill="auto"/>
            <w:vAlign w:val="center"/>
            <w:hideMark/>
          </w:tcPr>
          <w:p w14:paraId="73C9D187"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2,061</w:t>
            </w:r>
          </w:p>
        </w:tc>
        <w:tc>
          <w:tcPr>
            <w:tcW w:w="2503" w:type="dxa"/>
            <w:tcBorders>
              <w:top w:val="nil"/>
              <w:left w:val="nil"/>
              <w:bottom w:val="single" w:sz="8" w:space="0" w:color="auto"/>
              <w:right w:val="nil"/>
            </w:tcBorders>
            <w:shd w:val="clear" w:color="auto" w:fill="auto"/>
            <w:vAlign w:val="center"/>
            <w:hideMark/>
          </w:tcPr>
          <w:p w14:paraId="0DBCF085" w14:textId="77777777" w:rsidR="006E5BE1" w:rsidRDefault="006E5BE1" w:rsidP="006E5BE1">
            <w:pPr>
              <w:jc w:val="right"/>
            </w:pPr>
            <w:r>
              <w:t>Windsor</w:t>
            </w:r>
          </w:p>
          <w:p w14:paraId="20781FDB" w14:textId="2463DFA8" w:rsidR="00663846" w:rsidRPr="00663846" w:rsidRDefault="006E5BE1" w:rsidP="006E5BE1">
            <w:pPr>
              <w:jc w:val="right"/>
              <w:rPr>
                <w:rFonts w:eastAsia="Times New Roman"/>
                <w:color w:val="000000"/>
                <w:lang w:eastAsia="en-US"/>
              </w:rPr>
            </w:pPr>
            <w:r>
              <w:t>320,000</w:t>
            </w:r>
          </w:p>
        </w:tc>
      </w:tr>
      <w:tr w:rsidR="00663846" w:rsidRPr="00663846" w14:paraId="7CE35F9C"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0D183575"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Fleming</w:t>
            </w:r>
          </w:p>
        </w:tc>
        <w:tc>
          <w:tcPr>
            <w:tcW w:w="1551" w:type="dxa"/>
            <w:tcBorders>
              <w:top w:val="nil"/>
              <w:left w:val="nil"/>
              <w:bottom w:val="single" w:sz="8" w:space="0" w:color="auto"/>
              <w:right w:val="nil"/>
            </w:tcBorders>
            <w:shd w:val="clear" w:color="auto" w:fill="auto"/>
            <w:vAlign w:val="center"/>
            <w:hideMark/>
          </w:tcPr>
          <w:p w14:paraId="74C79002"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549,999</w:t>
            </w:r>
          </w:p>
        </w:tc>
        <w:tc>
          <w:tcPr>
            <w:tcW w:w="1172" w:type="dxa"/>
            <w:tcBorders>
              <w:top w:val="nil"/>
              <w:left w:val="nil"/>
              <w:bottom w:val="single" w:sz="8" w:space="0" w:color="auto"/>
              <w:right w:val="nil"/>
            </w:tcBorders>
            <w:shd w:val="clear" w:color="auto" w:fill="auto"/>
            <w:vAlign w:val="center"/>
            <w:hideMark/>
          </w:tcPr>
          <w:p w14:paraId="26EC9A02"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6,370</w:t>
            </w:r>
          </w:p>
        </w:tc>
        <w:tc>
          <w:tcPr>
            <w:tcW w:w="1260" w:type="dxa"/>
            <w:tcBorders>
              <w:top w:val="nil"/>
              <w:left w:val="nil"/>
              <w:bottom w:val="single" w:sz="8" w:space="0" w:color="auto"/>
              <w:right w:val="nil"/>
            </w:tcBorders>
            <w:shd w:val="clear" w:color="auto" w:fill="auto"/>
            <w:vAlign w:val="center"/>
            <w:hideMark/>
          </w:tcPr>
          <w:p w14:paraId="5DDD0D2D"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0</w:t>
            </w:r>
          </w:p>
        </w:tc>
        <w:tc>
          <w:tcPr>
            <w:tcW w:w="1456" w:type="dxa"/>
            <w:tcBorders>
              <w:top w:val="nil"/>
              <w:left w:val="nil"/>
              <w:bottom w:val="single" w:sz="8" w:space="0" w:color="auto"/>
              <w:right w:val="nil"/>
            </w:tcBorders>
            <w:shd w:val="clear" w:color="auto" w:fill="auto"/>
            <w:vAlign w:val="center"/>
            <w:hideMark/>
          </w:tcPr>
          <w:p w14:paraId="044F5802"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260</w:t>
            </w:r>
          </w:p>
        </w:tc>
        <w:tc>
          <w:tcPr>
            <w:tcW w:w="2503" w:type="dxa"/>
            <w:tcBorders>
              <w:top w:val="nil"/>
              <w:left w:val="nil"/>
              <w:bottom w:val="single" w:sz="8" w:space="0" w:color="auto"/>
              <w:right w:val="nil"/>
            </w:tcBorders>
            <w:shd w:val="clear" w:color="auto" w:fill="auto"/>
            <w:vAlign w:val="center"/>
            <w:hideMark/>
          </w:tcPr>
          <w:p w14:paraId="2D5B82C0" w14:textId="77777777" w:rsidR="007D7056" w:rsidRDefault="007D7056" w:rsidP="000B2F0C">
            <w:pPr>
              <w:jc w:val="right"/>
            </w:pPr>
            <w:r>
              <w:t>Peterborough</w:t>
            </w:r>
          </w:p>
          <w:p w14:paraId="72F00457" w14:textId="1307CD4B" w:rsidR="00663846" w:rsidRPr="00663846" w:rsidRDefault="007D7056" w:rsidP="000B2F0C">
            <w:pPr>
              <w:jc w:val="right"/>
              <w:rPr>
                <w:rFonts w:eastAsia="Times New Roman"/>
                <w:color w:val="000000"/>
                <w:lang w:eastAsia="en-US"/>
              </w:rPr>
            </w:pPr>
            <w:r w:rsidRPr="008A76CD">
              <w:t>119,000</w:t>
            </w:r>
          </w:p>
        </w:tc>
      </w:tr>
      <w:tr w:rsidR="00663846" w:rsidRPr="00663846" w14:paraId="79A56B47"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39D7D3FD" w14:textId="2AB3C4B0" w:rsidR="00663846" w:rsidRPr="00663846" w:rsidRDefault="00663846" w:rsidP="00663846">
            <w:pPr>
              <w:rPr>
                <w:rFonts w:eastAsia="Times New Roman"/>
                <w:color w:val="000000"/>
                <w:lang w:eastAsia="en-US"/>
              </w:rPr>
            </w:pPr>
            <w:r w:rsidRPr="00663846">
              <w:rPr>
                <w:rFonts w:eastAsia="Times New Roman"/>
                <w:color w:val="000000"/>
                <w:lang w:eastAsia="en-US"/>
              </w:rPr>
              <w:t>St Lawrence</w:t>
            </w:r>
          </w:p>
        </w:tc>
        <w:tc>
          <w:tcPr>
            <w:tcW w:w="1551" w:type="dxa"/>
            <w:tcBorders>
              <w:top w:val="nil"/>
              <w:left w:val="nil"/>
              <w:bottom w:val="single" w:sz="8" w:space="0" w:color="auto"/>
              <w:right w:val="nil"/>
            </w:tcBorders>
            <w:shd w:val="clear" w:color="auto" w:fill="auto"/>
            <w:vAlign w:val="center"/>
            <w:hideMark/>
          </w:tcPr>
          <w:p w14:paraId="27EC758A"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250,000</w:t>
            </w:r>
          </w:p>
        </w:tc>
        <w:tc>
          <w:tcPr>
            <w:tcW w:w="1172" w:type="dxa"/>
            <w:tcBorders>
              <w:top w:val="nil"/>
              <w:left w:val="nil"/>
              <w:bottom w:val="single" w:sz="8" w:space="0" w:color="auto"/>
              <w:right w:val="nil"/>
            </w:tcBorders>
            <w:shd w:val="clear" w:color="auto" w:fill="auto"/>
            <w:vAlign w:val="center"/>
            <w:hideMark/>
          </w:tcPr>
          <w:p w14:paraId="356606CD"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5,000</w:t>
            </w:r>
          </w:p>
        </w:tc>
        <w:tc>
          <w:tcPr>
            <w:tcW w:w="1260" w:type="dxa"/>
            <w:tcBorders>
              <w:top w:val="nil"/>
              <w:left w:val="nil"/>
              <w:bottom w:val="single" w:sz="8" w:space="0" w:color="auto"/>
              <w:right w:val="nil"/>
            </w:tcBorders>
            <w:shd w:val="clear" w:color="auto" w:fill="auto"/>
            <w:vAlign w:val="center"/>
            <w:hideMark/>
          </w:tcPr>
          <w:p w14:paraId="261FADE2"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172</w:t>
            </w:r>
          </w:p>
        </w:tc>
        <w:tc>
          <w:tcPr>
            <w:tcW w:w="1456" w:type="dxa"/>
            <w:tcBorders>
              <w:top w:val="nil"/>
              <w:left w:val="nil"/>
              <w:bottom w:val="single" w:sz="8" w:space="0" w:color="auto"/>
              <w:right w:val="nil"/>
            </w:tcBorders>
            <w:shd w:val="clear" w:color="auto" w:fill="auto"/>
            <w:vAlign w:val="center"/>
            <w:hideMark/>
          </w:tcPr>
          <w:p w14:paraId="285E6E8D"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697</w:t>
            </w:r>
          </w:p>
        </w:tc>
        <w:tc>
          <w:tcPr>
            <w:tcW w:w="2503" w:type="dxa"/>
            <w:tcBorders>
              <w:top w:val="nil"/>
              <w:left w:val="nil"/>
              <w:bottom w:val="single" w:sz="8" w:space="0" w:color="auto"/>
              <w:right w:val="nil"/>
            </w:tcBorders>
            <w:shd w:val="clear" w:color="auto" w:fill="auto"/>
            <w:vAlign w:val="center"/>
            <w:hideMark/>
          </w:tcPr>
          <w:p w14:paraId="46C9FC06" w14:textId="77777777" w:rsidR="00663846" w:rsidRDefault="007D7056" w:rsidP="000B2F0C">
            <w:pPr>
              <w:jc w:val="right"/>
              <w:rPr>
                <w:rFonts w:eastAsia="Times New Roman"/>
                <w:color w:val="000000"/>
                <w:lang w:eastAsia="en-US"/>
              </w:rPr>
            </w:pPr>
            <w:r>
              <w:rPr>
                <w:rFonts w:eastAsia="Times New Roman"/>
                <w:color w:val="000000"/>
                <w:lang w:eastAsia="en-US"/>
              </w:rPr>
              <w:t>Kingston</w:t>
            </w:r>
          </w:p>
          <w:p w14:paraId="49C3DA95" w14:textId="3403985D" w:rsidR="007D7056" w:rsidRPr="00663846" w:rsidRDefault="007D7056" w:rsidP="000B2F0C">
            <w:pPr>
              <w:jc w:val="right"/>
              <w:rPr>
                <w:rFonts w:eastAsia="Times New Roman"/>
                <w:color w:val="000000"/>
                <w:lang w:eastAsia="en-US"/>
              </w:rPr>
            </w:pPr>
            <w:r>
              <w:rPr>
                <w:rFonts w:eastAsia="Times New Roman"/>
                <w:color w:val="000000"/>
                <w:lang w:eastAsia="en-US"/>
              </w:rPr>
              <w:t>160,000</w:t>
            </w:r>
          </w:p>
        </w:tc>
      </w:tr>
      <w:tr w:rsidR="00663846" w:rsidRPr="00663846" w14:paraId="1FC3D70C"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5A118B3C" w14:textId="4DD65EE7" w:rsidR="00663846" w:rsidRPr="00663846" w:rsidRDefault="00663846" w:rsidP="00663846">
            <w:pPr>
              <w:rPr>
                <w:rFonts w:eastAsia="Times New Roman"/>
                <w:color w:val="000000"/>
                <w:lang w:eastAsia="en-US"/>
              </w:rPr>
            </w:pPr>
            <w:r w:rsidRPr="00663846">
              <w:rPr>
                <w:rFonts w:eastAsia="Times New Roman"/>
                <w:color w:val="000000"/>
                <w:lang w:eastAsia="en-US"/>
              </w:rPr>
              <w:t xml:space="preserve">La Cité </w:t>
            </w:r>
          </w:p>
        </w:tc>
        <w:tc>
          <w:tcPr>
            <w:tcW w:w="1551" w:type="dxa"/>
            <w:tcBorders>
              <w:top w:val="nil"/>
              <w:left w:val="nil"/>
              <w:bottom w:val="single" w:sz="8" w:space="0" w:color="auto"/>
              <w:right w:val="nil"/>
            </w:tcBorders>
            <w:shd w:val="clear" w:color="auto" w:fill="auto"/>
            <w:vAlign w:val="center"/>
            <w:hideMark/>
          </w:tcPr>
          <w:p w14:paraId="6E177428"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648,956</w:t>
            </w:r>
          </w:p>
        </w:tc>
        <w:tc>
          <w:tcPr>
            <w:tcW w:w="1172" w:type="dxa"/>
            <w:tcBorders>
              <w:top w:val="nil"/>
              <w:left w:val="nil"/>
              <w:bottom w:val="single" w:sz="8" w:space="0" w:color="auto"/>
              <w:right w:val="nil"/>
            </w:tcBorders>
            <w:shd w:val="clear" w:color="auto" w:fill="auto"/>
            <w:vAlign w:val="center"/>
            <w:hideMark/>
          </w:tcPr>
          <w:p w14:paraId="14D009EF"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4,339</w:t>
            </w:r>
          </w:p>
        </w:tc>
        <w:tc>
          <w:tcPr>
            <w:tcW w:w="1260" w:type="dxa"/>
            <w:tcBorders>
              <w:top w:val="nil"/>
              <w:left w:val="nil"/>
              <w:bottom w:val="single" w:sz="8" w:space="0" w:color="auto"/>
              <w:right w:val="nil"/>
            </w:tcBorders>
            <w:shd w:val="clear" w:color="auto" w:fill="auto"/>
            <w:vAlign w:val="center"/>
            <w:hideMark/>
          </w:tcPr>
          <w:p w14:paraId="0C19E2C7"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73</w:t>
            </w:r>
          </w:p>
        </w:tc>
        <w:tc>
          <w:tcPr>
            <w:tcW w:w="1456" w:type="dxa"/>
            <w:tcBorders>
              <w:top w:val="nil"/>
              <w:left w:val="nil"/>
              <w:bottom w:val="single" w:sz="8" w:space="0" w:color="auto"/>
              <w:right w:val="nil"/>
            </w:tcBorders>
            <w:shd w:val="clear" w:color="auto" w:fill="auto"/>
            <w:vAlign w:val="center"/>
            <w:hideMark/>
          </w:tcPr>
          <w:p w14:paraId="581DB4AC"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379</w:t>
            </w:r>
          </w:p>
        </w:tc>
        <w:tc>
          <w:tcPr>
            <w:tcW w:w="2503" w:type="dxa"/>
            <w:tcBorders>
              <w:top w:val="nil"/>
              <w:left w:val="nil"/>
              <w:bottom w:val="single" w:sz="8" w:space="0" w:color="auto"/>
              <w:right w:val="nil"/>
            </w:tcBorders>
            <w:shd w:val="clear" w:color="auto" w:fill="auto"/>
            <w:vAlign w:val="center"/>
            <w:hideMark/>
          </w:tcPr>
          <w:p w14:paraId="1288199A" w14:textId="77777777" w:rsidR="007D7056" w:rsidRDefault="007D7056" w:rsidP="007D7056">
            <w:pPr>
              <w:jc w:val="right"/>
            </w:pPr>
            <w:r>
              <w:t>Ottawa</w:t>
            </w:r>
          </w:p>
          <w:p w14:paraId="06A91629" w14:textId="0A4ADDC6" w:rsidR="00663846" w:rsidRPr="00663846" w:rsidRDefault="007D7056" w:rsidP="007D7056">
            <w:pPr>
              <w:jc w:val="right"/>
              <w:rPr>
                <w:rFonts w:eastAsia="Times New Roman"/>
                <w:color w:val="000000"/>
                <w:lang w:eastAsia="en-US"/>
              </w:rPr>
            </w:pPr>
            <w:r>
              <w:t>1.2 million</w:t>
            </w:r>
          </w:p>
        </w:tc>
      </w:tr>
      <w:tr w:rsidR="00663846" w:rsidRPr="00663846" w14:paraId="6E380873"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371DAB05"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Cambrian</w:t>
            </w:r>
          </w:p>
        </w:tc>
        <w:tc>
          <w:tcPr>
            <w:tcW w:w="1551" w:type="dxa"/>
            <w:tcBorders>
              <w:top w:val="nil"/>
              <w:left w:val="nil"/>
              <w:bottom w:val="single" w:sz="8" w:space="0" w:color="auto"/>
              <w:right w:val="nil"/>
            </w:tcBorders>
            <w:shd w:val="clear" w:color="auto" w:fill="auto"/>
            <w:vAlign w:val="center"/>
            <w:hideMark/>
          </w:tcPr>
          <w:p w14:paraId="0836B97C"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164,450</w:t>
            </w:r>
          </w:p>
        </w:tc>
        <w:tc>
          <w:tcPr>
            <w:tcW w:w="1172" w:type="dxa"/>
            <w:tcBorders>
              <w:top w:val="nil"/>
              <w:left w:val="nil"/>
              <w:bottom w:val="single" w:sz="8" w:space="0" w:color="auto"/>
              <w:right w:val="nil"/>
            </w:tcBorders>
            <w:shd w:val="clear" w:color="auto" w:fill="auto"/>
            <w:vAlign w:val="center"/>
            <w:hideMark/>
          </w:tcPr>
          <w:p w14:paraId="36767548"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3,338</w:t>
            </w:r>
          </w:p>
        </w:tc>
        <w:tc>
          <w:tcPr>
            <w:tcW w:w="1260" w:type="dxa"/>
            <w:tcBorders>
              <w:top w:val="nil"/>
              <w:left w:val="nil"/>
              <w:bottom w:val="single" w:sz="8" w:space="0" w:color="auto"/>
              <w:right w:val="nil"/>
            </w:tcBorders>
            <w:shd w:val="clear" w:color="auto" w:fill="auto"/>
            <w:vAlign w:val="center"/>
            <w:hideMark/>
          </w:tcPr>
          <w:p w14:paraId="797E1D93"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0</w:t>
            </w:r>
          </w:p>
        </w:tc>
        <w:tc>
          <w:tcPr>
            <w:tcW w:w="1456" w:type="dxa"/>
            <w:tcBorders>
              <w:top w:val="nil"/>
              <w:left w:val="nil"/>
              <w:bottom w:val="single" w:sz="8" w:space="0" w:color="auto"/>
              <w:right w:val="nil"/>
            </w:tcBorders>
            <w:shd w:val="clear" w:color="auto" w:fill="auto"/>
            <w:vAlign w:val="center"/>
            <w:hideMark/>
          </w:tcPr>
          <w:p w14:paraId="7641891C"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367</w:t>
            </w:r>
          </w:p>
        </w:tc>
        <w:tc>
          <w:tcPr>
            <w:tcW w:w="2503" w:type="dxa"/>
            <w:tcBorders>
              <w:top w:val="nil"/>
              <w:left w:val="nil"/>
              <w:bottom w:val="single" w:sz="8" w:space="0" w:color="auto"/>
              <w:right w:val="nil"/>
            </w:tcBorders>
            <w:shd w:val="clear" w:color="auto" w:fill="auto"/>
            <w:vAlign w:val="center"/>
            <w:hideMark/>
          </w:tcPr>
          <w:p w14:paraId="33F3350A" w14:textId="77777777" w:rsidR="003800F3" w:rsidRDefault="003800F3" w:rsidP="000B2F0C">
            <w:pPr>
              <w:jc w:val="right"/>
            </w:pPr>
            <w:r>
              <w:t>Sudbury</w:t>
            </w:r>
          </w:p>
          <w:p w14:paraId="4B35E8FD" w14:textId="0D7DF380" w:rsidR="00663846" w:rsidRPr="00663846" w:rsidRDefault="003800F3" w:rsidP="000B2F0C">
            <w:pPr>
              <w:jc w:val="right"/>
              <w:rPr>
                <w:rFonts w:eastAsia="Times New Roman"/>
                <w:color w:val="000000"/>
                <w:lang w:eastAsia="en-US"/>
              </w:rPr>
            </w:pPr>
            <w:r w:rsidRPr="008A76CD">
              <w:t>160,000</w:t>
            </w:r>
          </w:p>
        </w:tc>
      </w:tr>
      <w:tr w:rsidR="00663846" w:rsidRPr="00663846" w14:paraId="00E508BA"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76A91C1C" w14:textId="14469BAC" w:rsidR="00663846" w:rsidRPr="00663846" w:rsidRDefault="00663846" w:rsidP="00663846">
            <w:pPr>
              <w:rPr>
                <w:rFonts w:eastAsia="Times New Roman"/>
                <w:color w:val="000000"/>
                <w:lang w:eastAsia="en-US"/>
              </w:rPr>
            </w:pPr>
            <w:r w:rsidRPr="00663846">
              <w:rPr>
                <w:rFonts w:eastAsia="Times New Roman"/>
                <w:color w:val="000000"/>
                <w:lang w:eastAsia="en-US"/>
              </w:rPr>
              <w:t>Confederation</w:t>
            </w:r>
          </w:p>
        </w:tc>
        <w:tc>
          <w:tcPr>
            <w:tcW w:w="1551" w:type="dxa"/>
            <w:tcBorders>
              <w:top w:val="nil"/>
              <w:left w:val="nil"/>
              <w:bottom w:val="single" w:sz="8" w:space="0" w:color="auto"/>
              <w:right w:val="nil"/>
            </w:tcBorders>
            <w:shd w:val="clear" w:color="auto" w:fill="auto"/>
            <w:vAlign w:val="center"/>
            <w:hideMark/>
          </w:tcPr>
          <w:p w14:paraId="50A85395"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0</w:t>
            </w:r>
          </w:p>
        </w:tc>
        <w:tc>
          <w:tcPr>
            <w:tcW w:w="1172" w:type="dxa"/>
            <w:tcBorders>
              <w:top w:val="nil"/>
              <w:left w:val="nil"/>
              <w:bottom w:val="single" w:sz="8" w:space="0" w:color="auto"/>
              <w:right w:val="nil"/>
            </w:tcBorders>
            <w:shd w:val="clear" w:color="auto" w:fill="auto"/>
            <w:vAlign w:val="center"/>
            <w:hideMark/>
          </w:tcPr>
          <w:p w14:paraId="649B6D3E"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3,123</w:t>
            </w:r>
          </w:p>
        </w:tc>
        <w:tc>
          <w:tcPr>
            <w:tcW w:w="1260" w:type="dxa"/>
            <w:tcBorders>
              <w:top w:val="nil"/>
              <w:left w:val="nil"/>
              <w:bottom w:val="single" w:sz="8" w:space="0" w:color="auto"/>
              <w:right w:val="nil"/>
            </w:tcBorders>
            <w:shd w:val="clear" w:color="auto" w:fill="auto"/>
            <w:vAlign w:val="center"/>
            <w:hideMark/>
          </w:tcPr>
          <w:p w14:paraId="39BAD5DD"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0</w:t>
            </w:r>
          </w:p>
        </w:tc>
        <w:tc>
          <w:tcPr>
            <w:tcW w:w="1456" w:type="dxa"/>
            <w:tcBorders>
              <w:top w:val="nil"/>
              <w:left w:val="nil"/>
              <w:bottom w:val="single" w:sz="8" w:space="0" w:color="auto"/>
              <w:right w:val="nil"/>
            </w:tcBorders>
            <w:shd w:val="clear" w:color="auto" w:fill="auto"/>
            <w:vAlign w:val="center"/>
            <w:hideMark/>
          </w:tcPr>
          <w:p w14:paraId="4FAB602B"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430</w:t>
            </w:r>
          </w:p>
        </w:tc>
        <w:tc>
          <w:tcPr>
            <w:tcW w:w="2503" w:type="dxa"/>
            <w:tcBorders>
              <w:top w:val="nil"/>
              <w:left w:val="nil"/>
              <w:bottom w:val="single" w:sz="8" w:space="0" w:color="auto"/>
              <w:right w:val="nil"/>
            </w:tcBorders>
            <w:shd w:val="clear" w:color="auto" w:fill="auto"/>
            <w:vAlign w:val="center"/>
            <w:hideMark/>
          </w:tcPr>
          <w:p w14:paraId="2281D679" w14:textId="77777777" w:rsidR="003800F3" w:rsidRPr="008A76CD" w:rsidRDefault="003800F3" w:rsidP="003800F3">
            <w:pPr>
              <w:jc w:val="right"/>
            </w:pPr>
            <w:r w:rsidRPr="008A76CD">
              <w:t>Thunder Bay</w:t>
            </w:r>
          </w:p>
          <w:p w14:paraId="7C952623" w14:textId="6A0DA231" w:rsidR="00663846" w:rsidRPr="00663846" w:rsidRDefault="003800F3" w:rsidP="003800F3">
            <w:pPr>
              <w:jc w:val="right"/>
              <w:rPr>
                <w:rFonts w:eastAsia="Times New Roman"/>
                <w:color w:val="000000"/>
                <w:lang w:eastAsia="en-US"/>
              </w:rPr>
            </w:pPr>
            <w:r w:rsidRPr="008A76CD">
              <w:t>120,000</w:t>
            </w:r>
          </w:p>
        </w:tc>
      </w:tr>
      <w:tr w:rsidR="00663846" w:rsidRPr="00663846" w14:paraId="409F3CF8"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6D8C6C5C"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Loyalist</w:t>
            </w:r>
          </w:p>
        </w:tc>
        <w:tc>
          <w:tcPr>
            <w:tcW w:w="1551" w:type="dxa"/>
            <w:tcBorders>
              <w:top w:val="nil"/>
              <w:left w:val="nil"/>
              <w:bottom w:val="single" w:sz="8" w:space="0" w:color="auto"/>
              <w:right w:val="nil"/>
            </w:tcBorders>
            <w:shd w:val="clear" w:color="auto" w:fill="auto"/>
            <w:vAlign w:val="center"/>
            <w:hideMark/>
          </w:tcPr>
          <w:p w14:paraId="3F25E661"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0</w:t>
            </w:r>
          </w:p>
        </w:tc>
        <w:tc>
          <w:tcPr>
            <w:tcW w:w="1172" w:type="dxa"/>
            <w:tcBorders>
              <w:top w:val="nil"/>
              <w:left w:val="nil"/>
              <w:bottom w:val="single" w:sz="8" w:space="0" w:color="auto"/>
              <w:right w:val="nil"/>
            </w:tcBorders>
            <w:shd w:val="clear" w:color="auto" w:fill="auto"/>
            <w:vAlign w:val="center"/>
            <w:hideMark/>
          </w:tcPr>
          <w:p w14:paraId="2C03FE44"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2,625</w:t>
            </w:r>
          </w:p>
        </w:tc>
        <w:tc>
          <w:tcPr>
            <w:tcW w:w="1260" w:type="dxa"/>
            <w:tcBorders>
              <w:top w:val="nil"/>
              <w:left w:val="nil"/>
              <w:bottom w:val="single" w:sz="8" w:space="0" w:color="auto"/>
              <w:right w:val="nil"/>
            </w:tcBorders>
            <w:shd w:val="clear" w:color="auto" w:fill="auto"/>
            <w:vAlign w:val="center"/>
            <w:hideMark/>
          </w:tcPr>
          <w:p w14:paraId="303E472D"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0</w:t>
            </w:r>
          </w:p>
        </w:tc>
        <w:tc>
          <w:tcPr>
            <w:tcW w:w="1456" w:type="dxa"/>
            <w:tcBorders>
              <w:top w:val="nil"/>
              <w:left w:val="nil"/>
              <w:bottom w:val="single" w:sz="8" w:space="0" w:color="auto"/>
              <w:right w:val="nil"/>
            </w:tcBorders>
            <w:shd w:val="clear" w:color="auto" w:fill="auto"/>
            <w:vAlign w:val="center"/>
            <w:hideMark/>
          </w:tcPr>
          <w:p w14:paraId="603D6655"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2,960</w:t>
            </w:r>
          </w:p>
        </w:tc>
        <w:tc>
          <w:tcPr>
            <w:tcW w:w="2503" w:type="dxa"/>
            <w:tcBorders>
              <w:top w:val="nil"/>
              <w:left w:val="nil"/>
              <w:bottom w:val="single" w:sz="8" w:space="0" w:color="auto"/>
              <w:right w:val="nil"/>
            </w:tcBorders>
            <w:shd w:val="clear" w:color="auto" w:fill="auto"/>
            <w:vAlign w:val="center"/>
            <w:hideMark/>
          </w:tcPr>
          <w:p w14:paraId="63452EB2" w14:textId="77777777" w:rsidR="00663846" w:rsidRPr="003800F3" w:rsidRDefault="003800F3" w:rsidP="003800F3">
            <w:pPr>
              <w:jc w:val="right"/>
            </w:pPr>
            <w:r w:rsidRPr="003800F3">
              <w:t>Belleville</w:t>
            </w:r>
          </w:p>
          <w:p w14:paraId="2E8BB4AE" w14:textId="701D44E4" w:rsidR="003800F3" w:rsidRPr="003800F3" w:rsidRDefault="003800F3" w:rsidP="003800F3">
            <w:pPr>
              <w:jc w:val="right"/>
            </w:pPr>
            <w:r w:rsidRPr="003800F3">
              <w:t>92,500</w:t>
            </w:r>
          </w:p>
        </w:tc>
      </w:tr>
      <w:tr w:rsidR="00663846" w:rsidRPr="00663846" w14:paraId="58218ED2"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37F2D40E"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Canadore</w:t>
            </w:r>
          </w:p>
        </w:tc>
        <w:tc>
          <w:tcPr>
            <w:tcW w:w="1551" w:type="dxa"/>
            <w:tcBorders>
              <w:top w:val="nil"/>
              <w:left w:val="nil"/>
              <w:bottom w:val="single" w:sz="8" w:space="0" w:color="auto"/>
              <w:right w:val="nil"/>
            </w:tcBorders>
            <w:shd w:val="clear" w:color="auto" w:fill="auto"/>
            <w:vAlign w:val="center"/>
            <w:hideMark/>
          </w:tcPr>
          <w:p w14:paraId="79BDEE61"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0</w:t>
            </w:r>
          </w:p>
        </w:tc>
        <w:tc>
          <w:tcPr>
            <w:tcW w:w="1172" w:type="dxa"/>
            <w:tcBorders>
              <w:top w:val="nil"/>
              <w:left w:val="nil"/>
              <w:bottom w:val="single" w:sz="8" w:space="0" w:color="auto"/>
              <w:right w:val="nil"/>
            </w:tcBorders>
            <w:shd w:val="clear" w:color="auto" w:fill="auto"/>
            <w:vAlign w:val="center"/>
            <w:hideMark/>
          </w:tcPr>
          <w:p w14:paraId="066F0284"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2,621</w:t>
            </w:r>
          </w:p>
        </w:tc>
        <w:tc>
          <w:tcPr>
            <w:tcW w:w="1260" w:type="dxa"/>
            <w:tcBorders>
              <w:top w:val="nil"/>
              <w:left w:val="nil"/>
              <w:bottom w:val="single" w:sz="8" w:space="0" w:color="auto"/>
              <w:right w:val="nil"/>
            </w:tcBorders>
            <w:shd w:val="clear" w:color="auto" w:fill="auto"/>
            <w:vAlign w:val="center"/>
            <w:hideMark/>
          </w:tcPr>
          <w:p w14:paraId="6BC03E6B"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0</w:t>
            </w:r>
          </w:p>
        </w:tc>
        <w:tc>
          <w:tcPr>
            <w:tcW w:w="1456" w:type="dxa"/>
            <w:tcBorders>
              <w:top w:val="nil"/>
              <w:left w:val="nil"/>
              <w:bottom w:val="single" w:sz="8" w:space="0" w:color="auto"/>
              <w:right w:val="nil"/>
            </w:tcBorders>
            <w:shd w:val="clear" w:color="auto" w:fill="auto"/>
            <w:vAlign w:val="center"/>
            <w:hideMark/>
          </w:tcPr>
          <w:p w14:paraId="49277F1D"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613</w:t>
            </w:r>
          </w:p>
        </w:tc>
        <w:tc>
          <w:tcPr>
            <w:tcW w:w="2503" w:type="dxa"/>
            <w:tcBorders>
              <w:top w:val="nil"/>
              <w:left w:val="nil"/>
              <w:bottom w:val="single" w:sz="8" w:space="0" w:color="auto"/>
              <w:right w:val="nil"/>
            </w:tcBorders>
            <w:shd w:val="clear" w:color="auto" w:fill="auto"/>
            <w:vAlign w:val="center"/>
            <w:hideMark/>
          </w:tcPr>
          <w:p w14:paraId="6221B338" w14:textId="77777777" w:rsidR="003800F3" w:rsidRDefault="003800F3" w:rsidP="003800F3">
            <w:pPr>
              <w:jc w:val="right"/>
            </w:pPr>
            <w:r>
              <w:t>North Bay</w:t>
            </w:r>
          </w:p>
          <w:p w14:paraId="0B445946" w14:textId="41E55238" w:rsidR="00663846" w:rsidRPr="00663846" w:rsidRDefault="003800F3" w:rsidP="003800F3">
            <w:pPr>
              <w:jc w:val="right"/>
              <w:rPr>
                <w:rFonts w:eastAsia="Times New Roman"/>
                <w:color w:val="000000"/>
                <w:lang w:eastAsia="en-US"/>
              </w:rPr>
            </w:pPr>
            <w:r>
              <w:t>64,000</w:t>
            </w:r>
          </w:p>
        </w:tc>
      </w:tr>
      <w:tr w:rsidR="00663846" w:rsidRPr="00663846" w14:paraId="7098737D"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1A70F791"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Lambton</w:t>
            </w:r>
          </w:p>
        </w:tc>
        <w:tc>
          <w:tcPr>
            <w:tcW w:w="1551" w:type="dxa"/>
            <w:tcBorders>
              <w:top w:val="nil"/>
              <w:left w:val="nil"/>
              <w:bottom w:val="single" w:sz="8" w:space="0" w:color="auto"/>
              <w:right w:val="nil"/>
            </w:tcBorders>
            <w:shd w:val="clear" w:color="auto" w:fill="auto"/>
            <w:vAlign w:val="center"/>
            <w:hideMark/>
          </w:tcPr>
          <w:p w14:paraId="7AD63104"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859,433</w:t>
            </w:r>
          </w:p>
        </w:tc>
        <w:tc>
          <w:tcPr>
            <w:tcW w:w="1172" w:type="dxa"/>
            <w:tcBorders>
              <w:top w:val="nil"/>
              <w:left w:val="nil"/>
              <w:bottom w:val="single" w:sz="8" w:space="0" w:color="auto"/>
              <w:right w:val="nil"/>
            </w:tcBorders>
            <w:shd w:val="clear" w:color="auto" w:fill="auto"/>
            <w:vAlign w:val="center"/>
            <w:hideMark/>
          </w:tcPr>
          <w:p w14:paraId="06236144"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2,443</w:t>
            </w:r>
          </w:p>
        </w:tc>
        <w:tc>
          <w:tcPr>
            <w:tcW w:w="1260" w:type="dxa"/>
            <w:tcBorders>
              <w:top w:val="nil"/>
              <w:left w:val="nil"/>
              <w:bottom w:val="single" w:sz="8" w:space="0" w:color="auto"/>
              <w:right w:val="nil"/>
            </w:tcBorders>
            <w:shd w:val="clear" w:color="auto" w:fill="auto"/>
            <w:vAlign w:val="center"/>
            <w:hideMark/>
          </w:tcPr>
          <w:p w14:paraId="16571618"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0</w:t>
            </w:r>
          </w:p>
        </w:tc>
        <w:tc>
          <w:tcPr>
            <w:tcW w:w="1456" w:type="dxa"/>
            <w:tcBorders>
              <w:top w:val="nil"/>
              <w:left w:val="nil"/>
              <w:bottom w:val="single" w:sz="8" w:space="0" w:color="auto"/>
              <w:right w:val="nil"/>
            </w:tcBorders>
            <w:shd w:val="clear" w:color="auto" w:fill="auto"/>
            <w:vAlign w:val="center"/>
            <w:hideMark/>
          </w:tcPr>
          <w:p w14:paraId="25F74686"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611</w:t>
            </w:r>
          </w:p>
        </w:tc>
        <w:tc>
          <w:tcPr>
            <w:tcW w:w="2503" w:type="dxa"/>
            <w:tcBorders>
              <w:top w:val="nil"/>
              <w:left w:val="nil"/>
              <w:bottom w:val="single" w:sz="8" w:space="0" w:color="auto"/>
              <w:right w:val="nil"/>
            </w:tcBorders>
            <w:shd w:val="clear" w:color="auto" w:fill="auto"/>
            <w:vAlign w:val="center"/>
            <w:hideMark/>
          </w:tcPr>
          <w:p w14:paraId="2F4B56A7" w14:textId="77777777" w:rsidR="00663846" w:rsidRPr="003800F3" w:rsidRDefault="003800F3" w:rsidP="003800F3">
            <w:pPr>
              <w:jc w:val="right"/>
            </w:pPr>
            <w:r w:rsidRPr="003800F3">
              <w:t>Sarnia</w:t>
            </w:r>
          </w:p>
          <w:p w14:paraId="1A59582D" w14:textId="784820D4" w:rsidR="003800F3" w:rsidRPr="003800F3" w:rsidRDefault="003800F3" w:rsidP="003800F3">
            <w:pPr>
              <w:jc w:val="right"/>
            </w:pPr>
            <w:r w:rsidRPr="003800F3">
              <w:t>89,600</w:t>
            </w:r>
          </w:p>
        </w:tc>
      </w:tr>
      <w:tr w:rsidR="00663846" w:rsidRPr="00663846" w14:paraId="6EE55EB3"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239364A5"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Sault</w:t>
            </w:r>
          </w:p>
        </w:tc>
        <w:tc>
          <w:tcPr>
            <w:tcW w:w="1551" w:type="dxa"/>
            <w:tcBorders>
              <w:top w:val="nil"/>
              <w:left w:val="nil"/>
              <w:bottom w:val="single" w:sz="8" w:space="0" w:color="auto"/>
              <w:right w:val="nil"/>
            </w:tcBorders>
            <w:shd w:val="clear" w:color="auto" w:fill="auto"/>
            <w:vAlign w:val="center"/>
            <w:hideMark/>
          </w:tcPr>
          <w:p w14:paraId="6888C683"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0</w:t>
            </w:r>
          </w:p>
        </w:tc>
        <w:tc>
          <w:tcPr>
            <w:tcW w:w="1172" w:type="dxa"/>
            <w:tcBorders>
              <w:top w:val="nil"/>
              <w:left w:val="nil"/>
              <w:bottom w:val="single" w:sz="8" w:space="0" w:color="auto"/>
              <w:right w:val="nil"/>
            </w:tcBorders>
            <w:shd w:val="clear" w:color="auto" w:fill="auto"/>
            <w:vAlign w:val="center"/>
            <w:hideMark/>
          </w:tcPr>
          <w:p w14:paraId="62346EBF"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2,155</w:t>
            </w:r>
          </w:p>
        </w:tc>
        <w:tc>
          <w:tcPr>
            <w:tcW w:w="1260" w:type="dxa"/>
            <w:tcBorders>
              <w:top w:val="nil"/>
              <w:left w:val="nil"/>
              <w:bottom w:val="single" w:sz="8" w:space="0" w:color="auto"/>
              <w:right w:val="nil"/>
            </w:tcBorders>
            <w:shd w:val="clear" w:color="auto" w:fill="auto"/>
            <w:vAlign w:val="center"/>
            <w:hideMark/>
          </w:tcPr>
          <w:p w14:paraId="10898974"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0</w:t>
            </w:r>
          </w:p>
        </w:tc>
        <w:tc>
          <w:tcPr>
            <w:tcW w:w="1456" w:type="dxa"/>
            <w:tcBorders>
              <w:top w:val="nil"/>
              <w:left w:val="nil"/>
              <w:bottom w:val="single" w:sz="8" w:space="0" w:color="auto"/>
              <w:right w:val="nil"/>
            </w:tcBorders>
            <w:shd w:val="clear" w:color="auto" w:fill="auto"/>
            <w:vAlign w:val="center"/>
            <w:hideMark/>
          </w:tcPr>
          <w:p w14:paraId="076AE87B"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553</w:t>
            </w:r>
          </w:p>
        </w:tc>
        <w:tc>
          <w:tcPr>
            <w:tcW w:w="2503" w:type="dxa"/>
            <w:tcBorders>
              <w:top w:val="nil"/>
              <w:left w:val="nil"/>
              <w:bottom w:val="single" w:sz="8" w:space="0" w:color="auto"/>
              <w:right w:val="nil"/>
            </w:tcBorders>
            <w:shd w:val="clear" w:color="auto" w:fill="auto"/>
            <w:vAlign w:val="center"/>
            <w:hideMark/>
          </w:tcPr>
          <w:p w14:paraId="278C7E5A" w14:textId="77777777" w:rsidR="003800F3" w:rsidRPr="006B10EF" w:rsidRDefault="003800F3" w:rsidP="003800F3">
            <w:pPr>
              <w:jc w:val="right"/>
            </w:pPr>
            <w:r w:rsidRPr="006B10EF">
              <w:t>Sault Ste. Marie</w:t>
            </w:r>
          </w:p>
          <w:p w14:paraId="2B657926" w14:textId="53D81617" w:rsidR="00663846" w:rsidRPr="00663846" w:rsidRDefault="003800F3" w:rsidP="003800F3">
            <w:pPr>
              <w:jc w:val="right"/>
              <w:rPr>
                <w:rFonts w:eastAsia="Times New Roman"/>
                <w:color w:val="000000"/>
                <w:lang w:eastAsia="en-US"/>
              </w:rPr>
            </w:pPr>
            <w:r w:rsidRPr="006B10EF">
              <w:t>79,000</w:t>
            </w:r>
          </w:p>
        </w:tc>
      </w:tr>
      <w:tr w:rsidR="00663846" w:rsidRPr="00663846" w14:paraId="0140C20E" w14:textId="77777777" w:rsidTr="00663846">
        <w:trPr>
          <w:trHeight w:val="320"/>
        </w:trPr>
        <w:tc>
          <w:tcPr>
            <w:tcW w:w="1712" w:type="dxa"/>
            <w:tcBorders>
              <w:top w:val="nil"/>
              <w:left w:val="nil"/>
              <w:bottom w:val="single" w:sz="8" w:space="0" w:color="auto"/>
              <w:right w:val="nil"/>
            </w:tcBorders>
            <w:shd w:val="clear" w:color="auto" w:fill="auto"/>
            <w:vAlign w:val="center"/>
            <w:hideMark/>
          </w:tcPr>
          <w:p w14:paraId="706EE632"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Boréal</w:t>
            </w:r>
          </w:p>
        </w:tc>
        <w:tc>
          <w:tcPr>
            <w:tcW w:w="1551" w:type="dxa"/>
            <w:tcBorders>
              <w:top w:val="nil"/>
              <w:left w:val="nil"/>
              <w:bottom w:val="single" w:sz="8" w:space="0" w:color="auto"/>
              <w:right w:val="nil"/>
            </w:tcBorders>
            <w:shd w:val="clear" w:color="auto" w:fill="auto"/>
            <w:vAlign w:val="center"/>
            <w:hideMark/>
          </w:tcPr>
          <w:p w14:paraId="6981FF07"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0</w:t>
            </w:r>
          </w:p>
        </w:tc>
        <w:tc>
          <w:tcPr>
            <w:tcW w:w="1172" w:type="dxa"/>
            <w:tcBorders>
              <w:top w:val="nil"/>
              <w:left w:val="nil"/>
              <w:bottom w:val="single" w:sz="8" w:space="0" w:color="auto"/>
              <w:right w:val="nil"/>
            </w:tcBorders>
            <w:shd w:val="clear" w:color="auto" w:fill="auto"/>
            <w:vAlign w:val="center"/>
            <w:hideMark/>
          </w:tcPr>
          <w:p w14:paraId="3B219AEA"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1,366</w:t>
            </w:r>
          </w:p>
        </w:tc>
        <w:tc>
          <w:tcPr>
            <w:tcW w:w="1260" w:type="dxa"/>
            <w:tcBorders>
              <w:top w:val="nil"/>
              <w:left w:val="nil"/>
              <w:bottom w:val="single" w:sz="8" w:space="0" w:color="auto"/>
              <w:right w:val="nil"/>
            </w:tcBorders>
            <w:shd w:val="clear" w:color="auto" w:fill="auto"/>
            <w:vAlign w:val="center"/>
            <w:hideMark/>
          </w:tcPr>
          <w:p w14:paraId="1340E804"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0</w:t>
            </w:r>
          </w:p>
        </w:tc>
        <w:tc>
          <w:tcPr>
            <w:tcW w:w="1456" w:type="dxa"/>
            <w:tcBorders>
              <w:top w:val="nil"/>
              <w:left w:val="nil"/>
              <w:bottom w:val="single" w:sz="8" w:space="0" w:color="auto"/>
              <w:right w:val="nil"/>
            </w:tcBorders>
            <w:shd w:val="clear" w:color="auto" w:fill="auto"/>
            <w:vAlign w:val="center"/>
            <w:hideMark/>
          </w:tcPr>
          <w:p w14:paraId="3C118F3C"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1,863</w:t>
            </w:r>
          </w:p>
        </w:tc>
        <w:tc>
          <w:tcPr>
            <w:tcW w:w="2503" w:type="dxa"/>
            <w:tcBorders>
              <w:top w:val="nil"/>
              <w:left w:val="nil"/>
              <w:bottom w:val="single" w:sz="8" w:space="0" w:color="auto"/>
              <w:right w:val="nil"/>
            </w:tcBorders>
            <w:shd w:val="clear" w:color="auto" w:fill="auto"/>
            <w:vAlign w:val="center"/>
            <w:hideMark/>
          </w:tcPr>
          <w:p w14:paraId="69B4B441" w14:textId="77777777" w:rsidR="003800F3" w:rsidRDefault="003800F3" w:rsidP="003800F3">
            <w:pPr>
              <w:jc w:val="right"/>
            </w:pPr>
            <w:r>
              <w:t>Sudbury</w:t>
            </w:r>
          </w:p>
          <w:p w14:paraId="08B0C9F7" w14:textId="54741BF8" w:rsidR="00663846" w:rsidRPr="00663846" w:rsidRDefault="003800F3" w:rsidP="003800F3">
            <w:pPr>
              <w:jc w:val="right"/>
              <w:rPr>
                <w:rFonts w:eastAsia="Times New Roman"/>
                <w:color w:val="000000"/>
                <w:lang w:eastAsia="en-US"/>
              </w:rPr>
            </w:pPr>
            <w:r w:rsidRPr="008A76CD">
              <w:t>160,000</w:t>
            </w:r>
          </w:p>
        </w:tc>
      </w:tr>
      <w:tr w:rsidR="00663846" w:rsidRPr="00663846" w14:paraId="5E0A5BF6" w14:textId="77777777" w:rsidTr="00663846">
        <w:trPr>
          <w:trHeight w:val="320"/>
        </w:trPr>
        <w:tc>
          <w:tcPr>
            <w:tcW w:w="1712" w:type="dxa"/>
            <w:tcBorders>
              <w:top w:val="nil"/>
              <w:left w:val="nil"/>
              <w:bottom w:val="single" w:sz="12" w:space="0" w:color="auto"/>
              <w:right w:val="nil"/>
            </w:tcBorders>
            <w:shd w:val="clear" w:color="auto" w:fill="auto"/>
            <w:vAlign w:val="center"/>
            <w:hideMark/>
          </w:tcPr>
          <w:p w14:paraId="2C6144D7" w14:textId="77777777" w:rsidR="00663846" w:rsidRPr="00663846" w:rsidRDefault="00663846" w:rsidP="00663846">
            <w:pPr>
              <w:rPr>
                <w:rFonts w:eastAsia="Times New Roman"/>
                <w:color w:val="000000"/>
                <w:lang w:eastAsia="en-US"/>
              </w:rPr>
            </w:pPr>
            <w:r w:rsidRPr="00663846">
              <w:rPr>
                <w:rFonts w:eastAsia="Times New Roman"/>
                <w:color w:val="000000"/>
                <w:lang w:eastAsia="en-US"/>
              </w:rPr>
              <w:t>Northern</w:t>
            </w:r>
          </w:p>
        </w:tc>
        <w:tc>
          <w:tcPr>
            <w:tcW w:w="1551" w:type="dxa"/>
            <w:tcBorders>
              <w:top w:val="nil"/>
              <w:left w:val="nil"/>
              <w:bottom w:val="single" w:sz="12" w:space="0" w:color="auto"/>
              <w:right w:val="nil"/>
            </w:tcBorders>
            <w:shd w:val="clear" w:color="auto" w:fill="auto"/>
            <w:vAlign w:val="center"/>
            <w:hideMark/>
          </w:tcPr>
          <w:p w14:paraId="2A9AB6F6"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0</w:t>
            </w:r>
          </w:p>
        </w:tc>
        <w:tc>
          <w:tcPr>
            <w:tcW w:w="1172" w:type="dxa"/>
            <w:tcBorders>
              <w:top w:val="nil"/>
              <w:left w:val="nil"/>
              <w:bottom w:val="single" w:sz="12" w:space="0" w:color="auto"/>
              <w:right w:val="nil"/>
            </w:tcBorders>
            <w:shd w:val="clear" w:color="auto" w:fill="auto"/>
            <w:vAlign w:val="center"/>
            <w:hideMark/>
          </w:tcPr>
          <w:p w14:paraId="0C69CBF5" w14:textId="77777777" w:rsidR="00663846" w:rsidRPr="00663846" w:rsidRDefault="00663846" w:rsidP="00663846">
            <w:pPr>
              <w:jc w:val="right"/>
              <w:rPr>
                <w:rFonts w:eastAsia="Times New Roman"/>
                <w:color w:val="000000"/>
                <w:lang w:eastAsia="en-US"/>
              </w:rPr>
            </w:pPr>
            <w:r w:rsidRPr="00663846">
              <w:rPr>
                <w:rFonts w:eastAsia="Times New Roman"/>
                <w:color w:val="000000"/>
                <w:lang w:eastAsia="en-US"/>
              </w:rPr>
              <w:t>1,180</w:t>
            </w:r>
          </w:p>
        </w:tc>
        <w:tc>
          <w:tcPr>
            <w:tcW w:w="1260" w:type="dxa"/>
            <w:tcBorders>
              <w:top w:val="nil"/>
              <w:left w:val="nil"/>
              <w:bottom w:val="single" w:sz="12" w:space="0" w:color="auto"/>
              <w:right w:val="nil"/>
            </w:tcBorders>
            <w:shd w:val="clear" w:color="auto" w:fill="auto"/>
            <w:vAlign w:val="center"/>
            <w:hideMark/>
          </w:tcPr>
          <w:p w14:paraId="51C223E6"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0</w:t>
            </w:r>
          </w:p>
        </w:tc>
        <w:tc>
          <w:tcPr>
            <w:tcW w:w="1456" w:type="dxa"/>
            <w:tcBorders>
              <w:top w:val="nil"/>
              <w:left w:val="nil"/>
              <w:bottom w:val="single" w:sz="12" w:space="0" w:color="auto"/>
              <w:right w:val="nil"/>
            </w:tcBorders>
            <w:shd w:val="clear" w:color="auto" w:fill="auto"/>
            <w:vAlign w:val="center"/>
            <w:hideMark/>
          </w:tcPr>
          <w:p w14:paraId="1FE7FEFE" w14:textId="77777777" w:rsidR="00663846" w:rsidRPr="00663846" w:rsidRDefault="00663846" w:rsidP="000B2F0C">
            <w:pPr>
              <w:jc w:val="right"/>
              <w:rPr>
                <w:rFonts w:eastAsia="Times New Roman"/>
                <w:color w:val="000000"/>
                <w:lang w:eastAsia="en-US"/>
              </w:rPr>
            </w:pPr>
            <w:r w:rsidRPr="00663846">
              <w:rPr>
                <w:rFonts w:eastAsia="Times New Roman"/>
                <w:color w:val="000000"/>
                <w:lang w:eastAsia="en-US"/>
              </w:rPr>
              <w:t>762</w:t>
            </w:r>
          </w:p>
        </w:tc>
        <w:tc>
          <w:tcPr>
            <w:tcW w:w="2503" w:type="dxa"/>
            <w:tcBorders>
              <w:top w:val="nil"/>
              <w:left w:val="nil"/>
              <w:bottom w:val="single" w:sz="12" w:space="0" w:color="auto"/>
              <w:right w:val="nil"/>
            </w:tcBorders>
            <w:shd w:val="clear" w:color="auto" w:fill="auto"/>
            <w:vAlign w:val="center"/>
            <w:hideMark/>
          </w:tcPr>
          <w:p w14:paraId="5ECA2F59" w14:textId="77777777" w:rsidR="00663846" w:rsidRPr="005D5399" w:rsidRDefault="005D5399" w:rsidP="005D5399">
            <w:pPr>
              <w:jc w:val="right"/>
            </w:pPr>
            <w:r w:rsidRPr="005D5399">
              <w:t>Timmins</w:t>
            </w:r>
          </w:p>
          <w:p w14:paraId="222E1C8F" w14:textId="0D8752D6" w:rsidR="005D5399" w:rsidRPr="005D5399" w:rsidRDefault="005D5399" w:rsidP="005D5399">
            <w:pPr>
              <w:jc w:val="right"/>
              <w:rPr>
                <w:rFonts w:ascii="Times" w:eastAsia="Times New Roman" w:hAnsi="Times"/>
                <w:sz w:val="20"/>
                <w:szCs w:val="20"/>
                <w:lang w:eastAsia="en-US"/>
              </w:rPr>
            </w:pPr>
            <w:r w:rsidRPr="005D5399">
              <w:t>43,000</w:t>
            </w:r>
          </w:p>
        </w:tc>
      </w:tr>
      <w:tr w:rsidR="00663846" w:rsidRPr="00663846" w14:paraId="4C0E356E" w14:textId="77777777" w:rsidTr="00663846">
        <w:trPr>
          <w:trHeight w:val="340"/>
        </w:trPr>
        <w:tc>
          <w:tcPr>
            <w:tcW w:w="1712" w:type="dxa"/>
            <w:tcBorders>
              <w:top w:val="nil"/>
              <w:left w:val="nil"/>
              <w:bottom w:val="single" w:sz="12" w:space="0" w:color="auto"/>
              <w:right w:val="nil"/>
            </w:tcBorders>
            <w:shd w:val="clear" w:color="auto" w:fill="auto"/>
            <w:vAlign w:val="center"/>
            <w:hideMark/>
          </w:tcPr>
          <w:p w14:paraId="4E76C72E" w14:textId="77777777" w:rsidR="00663846" w:rsidRPr="00663846" w:rsidRDefault="00663846" w:rsidP="00663846">
            <w:pPr>
              <w:rPr>
                <w:rFonts w:eastAsia="Times New Roman"/>
                <w:b/>
                <w:bCs/>
                <w:color w:val="000000"/>
                <w:lang w:eastAsia="en-US"/>
              </w:rPr>
            </w:pPr>
            <w:r w:rsidRPr="00663846">
              <w:rPr>
                <w:rFonts w:eastAsia="Times New Roman"/>
                <w:b/>
                <w:bCs/>
                <w:color w:val="000000"/>
                <w:lang w:eastAsia="en-US"/>
              </w:rPr>
              <w:t>Total</w:t>
            </w:r>
          </w:p>
        </w:tc>
        <w:tc>
          <w:tcPr>
            <w:tcW w:w="1551" w:type="dxa"/>
            <w:tcBorders>
              <w:top w:val="nil"/>
              <w:left w:val="nil"/>
              <w:bottom w:val="single" w:sz="12" w:space="0" w:color="auto"/>
              <w:right w:val="nil"/>
            </w:tcBorders>
            <w:shd w:val="clear" w:color="auto" w:fill="auto"/>
            <w:vAlign w:val="center"/>
            <w:hideMark/>
          </w:tcPr>
          <w:p w14:paraId="3DC40F3F" w14:textId="77777777" w:rsidR="00663846" w:rsidRPr="00663846" w:rsidRDefault="00663846" w:rsidP="00663846">
            <w:pPr>
              <w:jc w:val="right"/>
              <w:rPr>
                <w:rFonts w:eastAsia="Times New Roman"/>
                <w:b/>
                <w:bCs/>
                <w:color w:val="000000"/>
                <w:lang w:eastAsia="en-US"/>
              </w:rPr>
            </w:pPr>
            <w:r w:rsidRPr="00663846">
              <w:rPr>
                <w:rFonts w:eastAsia="Times New Roman"/>
                <w:b/>
                <w:bCs/>
                <w:color w:val="000000"/>
                <w:lang w:eastAsia="en-US"/>
              </w:rPr>
              <w:t>9,765,484</w:t>
            </w:r>
          </w:p>
        </w:tc>
        <w:tc>
          <w:tcPr>
            <w:tcW w:w="1172" w:type="dxa"/>
            <w:tcBorders>
              <w:top w:val="nil"/>
              <w:left w:val="nil"/>
              <w:bottom w:val="single" w:sz="12" w:space="0" w:color="auto"/>
              <w:right w:val="nil"/>
            </w:tcBorders>
            <w:shd w:val="clear" w:color="auto" w:fill="auto"/>
            <w:vAlign w:val="center"/>
            <w:hideMark/>
          </w:tcPr>
          <w:p w14:paraId="2589AE11" w14:textId="77777777" w:rsidR="00663846" w:rsidRPr="00663846" w:rsidRDefault="00663846" w:rsidP="00663846">
            <w:pPr>
              <w:jc w:val="right"/>
              <w:rPr>
                <w:rFonts w:eastAsia="Times New Roman"/>
                <w:b/>
                <w:bCs/>
                <w:color w:val="000000"/>
                <w:lang w:eastAsia="en-US"/>
              </w:rPr>
            </w:pPr>
            <w:r w:rsidRPr="00663846">
              <w:rPr>
                <w:rFonts w:eastAsia="Times New Roman"/>
                <w:b/>
                <w:bCs/>
                <w:color w:val="000000"/>
                <w:lang w:eastAsia="en-US"/>
              </w:rPr>
              <w:t>190,612</w:t>
            </w:r>
          </w:p>
        </w:tc>
        <w:tc>
          <w:tcPr>
            <w:tcW w:w="1260" w:type="dxa"/>
            <w:tcBorders>
              <w:top w:val="nil"/>
              <w:left w:val="nil"/>
              <w:bottom w:val="single" w:sz="12" w:space="0" w:color="auto"/>
              <w:right w:val="nil"/>
            </w:tcBorders>
            <w:shd w:val="clear" w:color="auto" w:fill="auto"/>
            <w:vAlign w:val="center"/>
            <w:hideMark/>
          </w:tcPr>
          <w:p w14:paraId="2DE79546" w14:textId="77777777" w:rsidR="00663846" w:rsidRPr="00663846" w:rsidRDefault="00663846" w:rsidP="000B2F0C">
            <w:pPr>
              <w:jc w:val="right"/>
              <w:rPr>
                <w:rFonts w:eastAsia="Times New Roman"/>
                <w:b/>
                <w:bCs/>
                <w:color w:val="000000"/>
                <w:lang w:eastAsia="en-US"/>
              </w:rPr>
            </w:pPr>
            <w:r w:rsidRPr="00663846">
              <w:rPr>
                <w:rFonts w:eastAsia="Times New Roman"/>
                <w:b/>
                <w:bCs/>
                <w:color w:val="000000"/>
                <w:lang w:eastAsia="en-US"/>
              </w:rPr>
              <w:t>7,312</w:t>
            </w:r>
          </w:p>
        </w:tc>
        <w:tc>
          <w:tcPr>
            <w:tcW w:w="1456" w:type="dxa"/>
            <w:tcBorders>
              <w:top w:val="nil"/>
              <w:left w:val="nil"/>
              <w:bottom w:val="single" w:sz="12" w:space="0" w:color="auto"/>
              <w:right w:val="nil"/>
            </w:tcBorders>
            <w:shd w:val="clear" w:color="auto" w:fill="auto"/>
            <w:vAlign w:val="center"/>
            <w:hideMark/>
          </w:tcPr>
          <w:p w14:paraId="285662C4" w14:textId="77777777" w:rsidR="00663846" w:rsidRPr="00663846" w:rsidRDefault="00663846" w:rsidP="000B2F0C">
            <w:pPr>
              <w:jc w:val="right"/>
              <w:rPr>
                <w:rFonts w:eastAsia="Times New Roman"/>
                <w:b/>
                <w:bCs/>
                <w:color w:val="000000"/>
                <w:lang w:eastAsia="en-US"/>
              </w:rPr>
            </w:pPr>
            <w:r w:rsidRPr="00663846">
              <w:rPr>
                <w:rFonts w:eastAsia="Times New Roman"/>
                <w:b/>
                <w:bCs/>
                <w:color w:val="000000"/>
                <w:lang w:eastAsia="en-US"/>
              </w:rPr>
              <w:t>40,643</w:t>
            </w:r>
          </w:p>
        </w:tc>
        <w:tc>
          <w:tcPr>
            <w:tcW w:w="2503" w:type="dxa"/>
            <w:tcBorders>
              <w:top w:val="nil"/>
              <w:left w:val="nil"/>
              <w:bottom w:val="single" w:sz="12" w:space="0" w:color="auto"/>
              <w:right w:val="nil"/>
            </w:tcBorders>
            <w:shd w:val="clear" w:color="auto" w:fill="auto"/>
            <w:vAlign w:val="center"/>
            <w:hideMark/>
          </w:tcPr>
          <w:p w14:paraId="1517C5DC" w14:textId="77777777" w:rsidR="00663846" w:rsidRPr="00663846" w:rsidRDefault="00663846" w:rsidP="000B2F0C">
            <w:pPr>
              <w:jc w:val="right"/>
              <w:rPr>
                <w:rFonts w:eastAsia="Times New Roman"/>
                <w:b/>
                <w:bCs/>
                <w:color w:val="000000"/>
                <w:lang w:eastAsia="en-US"/>
              </w:rPr>
            </w:pPr>
            <w:r w:rsidRPr="00663846">
              <w:rPr>
                <w:rFonts w:eastAsia="Times New Roman"/>
                <w:b/>
                <w:bCs/>
                <w:color w:val="000000"/>
                <w:lang w:eastAsia="en-US"/>
              </w:rPr>
              <w:t> </w:t>
            </w:r>
          </w:p>
        </w:tc>
      </w:tr>
    </w:tbl>
    <w:p w14:paraId="6D865D96" w14:textId="77777777" w:rsidR="00663846" w:rsidRDefault="00663846" w:rsidP="00B71C5F">
      <w:pPr>
        <w:pStyle w:val="NormalWeb"/>
        <w:shd w:val="clear" w:color="auto" w:fill="FFFFFF"/>
        <w:spacing w:before="0" w:beforeAutospacing="0" w:after="0" w:afterAutospacing="0"/>
        <w:rPr>
          <w:color w:val="000000"/>
        </w:rPr>
      </w:pPr>
    </w:p>
    <w:p w14:paraId="702B22A7" w14:textId="2AD2DC9A" w:rsidR="00195F51" w:rsidRPr="00195F51" w:rsidRDefault="00195F51" w:rsidP="00195F51">
      <w:pPr>
        <w:pStyle w:val="NormalWeb"/>
        <w:shd w:val="clear" w:color="auto" w:fill="FFFFFF"/>
        <w:spacing w:before="0" w:beforeAutospacing="0" w:after="0" w:afterAutospacing="0"/>
        <w:rPr>
          <w:color w:val="000000"/>
        </w:rPr>
      </w:pPr>
      <w:r>
        <w:rPr>
          <w:color w:val="000000"/>
        </w:rPr>
        <w:t xml:space="preserve">Source: Hicks and colleagues (2013:9) </w:t>
      </w:r>
      <w:r w:rsidRPr="00663846">
        <w:rPr>
          <w:color w:val="000000"/>
        </w:rPr>
        <w:t>Table 1: Overview of Ontario’s colleges</w:t>
      </w:r>
    </w:p>
    <w:p w14:paraId="41DD4A9E" w14:textId="77777777" w:rsidR="00195F51" w:rsidRDefault="00195F51" w:rsidP="00195F51">
      <w:pPr>
        <w:pStyle w:val="Default"/>
        <w:rPr>
          <w:rFonts w:ascii="Times New Roman" w:hAnsi="Times New Roman" w:cs="Times New Roman"/>
          <w:lang w:val="en-AU"/>
        </w:rPr>
      </w:pPr>
    </w:p>
    <w:p w14:paraId="557FB4DF" w14:textId="71A44398" w:rsidR="008E6B7B" w:rsidRPr="00BA0E13" w:rsidRDefault="008E6B7B" w:rsidP="00BA0E13">
      <w:pPr>
        <w:widowControl w:val="0"/>
        <w:autoSpaceDE w:val="0"/>
        <w:autoSpaceDN w:val="0"/>
        <w:adjustRightInd w:val="0"/>
        <w:rPr>
          <w:sz w:val="21"/>
          <w:szCs w:val="21"/>
          <w:lang w:eastAsia="en-US"/>
        </w:rPr>
      </w:pPr>
      <w:r>
        <w:rPr>
          <w:lang w:val="en-AU"/>
        </w:rPr>
        <w:t xml:space="preserve">Ontario’s community college system was established in 1966-7 with little support if not antagonism from universities. As a result colleges were established with very different </w:t>
      </w:r>
      <w:r w:rsidR="003C1FF7">
        <w:rPr>
          <w:lang w:val="en-AU"/>
        </w:rPr>
        <w:t xml:space="preserve">if not segregated </w:t>
      </w:r>
      <w:r>
        <w:rPr>
          <w:lang w:val="en-AU"/>
        </w:rPr>
        <w:t>missions</w:t>
      </w:r>
      <w:r w:rsidR="003C1FF7">
        <w:rPr>
          <w:lang w:val="en-AU"/>
        </w:rPr>
        <w:t xml:space="preserve"> from universities</w:t>
      </w:r>
      <w:r>
        <w:rPr>
          <w:lang w:val="en-AU"/>
        </w:rPr>
        <w:t xml:space="preserve"> – hence their formal name ‘</w:t>
      </w:r>
      <w:r w:rsidRPr="008E6B7B">
        <w:rPr>
          <w:lang w:val="en-AU"/>
        </w:rPr>
        <w:t xml:space="preserve">colleges of applied arts and technology’ </w:t>
      </w:r>
      <w:r>
        <w:rPr>
          <w:lang w:val="en-AU"/>
        </w:rPr>
        <w:t xml:space="preserve">to emphasise their role in vocation </w:t>
      </w:r>
      <w:r w:rsidR="003C1FF7">
        <w:rPr>
          <w:lang w:val="en-AU"/>
        </w:rPr>
        <w:t xml:space="preserve">preparation and </w:t>
      </w:r>
      <w:r w:rsidR="00940C93">
        <w:rPr>
          <w:lang w:val="en-AU"/>
        </w:rPr>
        <w:t>not in preparing students to transfer to university.</w:t>
      </w:r>
      <w:r w:rsidR="00833FFE">
        <w:rPr>
          <w:lang w:val="en-AU"/>
        </w:rPr>
        <w:t xml:space="preserve"> </w:t>
      </w:r>
      <w:r w:rsidR="00BA0E13">
        <w:rPr>
          <w:lang w:val="en-AU"/>
        </w:rPr>
        <w:t>Colleges are Crown corporations and thus have far less autonomy than universities which are</w:t>
      </w:r>
      <w:r w:rsidR="00BA0E13" w:rsidRPr="00BA0E13">
        <w:rPr>
          <w:lang w:val="en-AU"/>
        </w:rPr>
        <w:t xml:space="preserve"> autonomous, not for profit ‘provincially assisted’ private corporation</w:t>
      </w:r>
      <w:r w:rsidR="00BA0E13">
        <w:rPr>
          <w:lang w:val="en-AU"/>
        </w:rPr>
        <w:t xml:space="preserve"> (Jones, 2014: 103). </w:t>
      </w:r>
      <w:r w:rsidR="00833FFE">
        <w:rPr>
          <w:lang w:val="en-AU"/>
        </w:rPr>
        <w:t>However, this demarcation is eroding. The Rae report (2005: 3, 29) used ‘</w:t>
      </w:r>
      <w:r w:rsidR="00833FFE" w:rsidRPr="00833FFE">
        <w:rPr>
          <w:lang w:val="en-AU"/>
        </w:rPr>
        <w:t xml:space="preserve">higher education’ and ‘postsecondary education’ interchangeably to describe apprenticeship, college, and university programs and institutions and </w:t>
      </w:r>
      <w:r w:rsidR="00833FFE">
        <w:rPr>
          <w:lang w:val="en-AU"/>
        </w:rPr>
        <w:t>the Ontario Government has recently started to foster community college transfer.</w:t>
      </w:r>
    </w:p>
    <w:p w14:paraId="1F4AA542" w14:textId="77777777" w:rsidR="008E6B7B" w:rsidRPr="00546577" w:rsidRDefault="008E6B7B" w:rsidP="00195F51">
      <w:pPr>
        <w:pStyle w:val="Default"/>
        <w:rPr>
          <w:rFonts w:ascii="Times New Roman" w:hAnsi="Times New Roman" w:cs="Times New Roman"/>
          <w:lang w:val="en-AU"/>
        </w:rPr>
      </w:pPr>
    </w:p>
    <w:p w14:paraId="7487C913" w14:textId="2D1F8DE9" w:rsidR="00A86FAD" w:rsidRDefault="00E95E1B" w:rsidP="00A86FAD">
      <w:pPr>
        <w:rPr>
          <w:lang w:val="en-AU"/>
        </w:rPr>
      </w:pPr>
      <w:r>
        <w:rPr>
          <w:lang w:val="en-AU"/>
        </w:rPr>
        <w:t xml:space="preserve">A very important principle of Ontario public policy which seems to be shared by many US states is that there should be </w:t>
      </w:r>
      <w:r w:rsidR="009854A6">
        <w:rPr>
          <w:lang w:val="en-AU"/>
        </w:rPr>
        <w:t xml:space="preserve">preferably </w:t>
      </w:r>
      <w:r>
        <w:rPr>
          <w:lang w:val="en-AU"/>
        </w:rPr>
        <w:t xml:space="preserve">no </w:t>
      </w:r>
      <w:r w:rsidR="009854A6">
        <w:rPr>
          <w:lang w:val="en-AU"/>
        </w:rPr>
        <w:t xml:space="preserve">but at least minimal </w:t>
      </w:r>
      <w:r>
        <w:rPr>
          <w:lang w:val="en-AU"/>
        </w:rPr>
        <w:t xml:space="preserve">duplication, overlap or competition between public colleges and universities. </w:t>
      </w:r>
      <w:r w:rsidR="008E6B7B">
        <w:rPr>
          <w:lang w:val="en-AU"/>
        </w:rPr>
        <w:t xml:space="preserve">However, </w:t>
      </w:r>
      <w:r w:rsidR="008E6B7B" w:rsidRPr="00E95E1B">
        <w:rPr>
          <w:lang w:val="en-AU"/>
        </w:rPr>
        <w:t>Higher Education Strateg</w:t>
      </w:r>
      <w:r w:rsidR="008E6B7B">
        <w:rPr>
          <w:lang w:val="en-AU"/>
        </w:rPr>
        <w:t>y Associates</w:t>
      </w:r>
      <w:r w:rsidR="008E6B7B" w:rsidRPr="00E95E1B">
        <w:rPr>
          <w:lang w:val="en-AU"/>
        </w:rPr>
        <w:t xml:space="preserve"> (2012</w:t>
      </w:r>
      <w:r w:rsidR="008E6B7B">
        <w:rPr>
          <w:lang w:val="en-AU"/>
        </w:rPr>
        <w:t>: 27</w:t>
      </w:r>
      <w:r w:rsidR="008E6B7B" w:rsidRPr="00E95E1B">
        <w:rPr>
          <w:lang w:val="en-AU"/>
        </w:rPr>
        <w:t>)</w:t>
      </w:r>
      <w:r w:rsidR="008E6B7B">
        <w:rPr>
          <w:lang w:val="en-AU"/>
        </w:rPr>
        <w:t xml:space="preserve"> observes that while competition might matter within the greater Toronto area it is largely irrelevant elsewhere in Ontario because many universities have trouble filling their quotas</w:t>
      </w:r>
      <w:r w:rsidR="008E6B7B" w:rsidRPr="00E95E1B">
        <w:rPr>
          <w:lang w:val="en-AU"/>
        </w:rPr>
        <w:t>.</w:t>
      </w:r>
      <w:r w:rsidR="008E6B7B">
        <w:rPr>
          <w:lang w:val="en-AU"/>
        </w:rPr>
        <w:t xml:space="preserve"> </w:t>
      </w:r>
      <w:r>
        <w:rPr>
          <w:lang w:val="en-AU"/>
        </w:rPr>
        <w:t>The Ontario Government is currently seeking to differentiate its public colleges and universities apparently mainly to contain the costs of its ambitious expansion plans</w:t>
      </w:r>
      <w:r w:rsidR="00C43231">
        <w:rPr>
          <w:lang w:val="en-AU"/>
        </w:rPr>
        <w:t xml:space="preserve"> </w:t>
      </w:r>
      <w:r>
        <w:rPr>
          <w:lang w:val="en-AU"/>
        </w:rPr>
        <w:t>(</w:t>
      </w:r>
      <w:r w:rsidRPr="003F601C">
        <w:t>Ministry of Trai</w:t>
      </w:r>
      <w:r>
        <w:t>ning, Colleges and Universities, 2013</w:t>
      </w:r>
      <w:r w:rsidR="001F71FC">
        <w:t>a</w:t>
      </w:r>
      <w:r>
        <w:t>: 5</w:t>
      </w:r>
      <w:r w:rsidR="00C43231">
        <w:t>b</w:t>
      </w:r>
      <w:r>
        <w:t>)</w:t>
      </w:r>
      <w:r>
        <w:rPr>
          <w:lang w:val="en-AU"/>
        </w:rPr>
        <w:t xml:space="preserve">, but this is strenuously resisted by many universities and their staff. </w:t>
      </w:r>
      <w:r w:rsidR="008E6B7B">
        <w:rPr>
          <w:lang w:val="en-AU"/>
        </w:rPr>
        <w:t>T</w:t>
      </w:r>
      <w:r w:rsidR="000E4347">
        <w:rPr>
          <w:lang w:val="en-AU"/>
        </w:rPr>
        <w:t xml:space="preserve">he most recent </w:t>
      </w:r>
      <w:r w:rsidR="009854A6">
        <w:rPr>
          <w:lang w:val="en-AU"/>
        </w:rPr>
        <w:t>‘</w:t>
      </w:r>
      <w:r w:rsidR="009854A6" w:rsidRPr="00265C0F">
        <w:t>data set to inform the differentiation discussion</w:t>
      </w:r>
      <w:r w:rsidR="009854A6">
        <w:t xml:space="preserve">’ does not seem to take enough account of </w:t>
      </w:r>
      <w:r w:rsidR="008E6B7B">
        <w:t>regions’ aspiration to be served by a full service university (Weingarten and colleagues, 2013).</w:t>
      </w:r>
    </w:p>
    <w:p w14:paraId="2B11B478" w14:textId="77777777" w:rsidR="000B7299" w:rsidRDefault="000B7299" w:rsidP="000B7299">
      <w:pPr>
        <w:pStyle w:val="Default"/>
        <w:rPr>
          <w:rStyle w:val="A3"/>
          <w:rFonts w:ascii="Times New Roman" w:hAnsi="Times New Roman" w:cs="Times New Roman"/>
          <w:b w:val="0"/>
          <w:sz w:val="24"/>
          <w:szCs w:val="24"/>
        </w:rPr>
      </w:pPr>
    </w:p>
    <w:p w14:paraId="61453576" w14:textId="77777777" w:rsidR="000B7299" w:rsidRPr="00305983" w:rsidRDefault="000B7299" w:rsidP="000B7299">
      <w:pPr>
        <w:pStyle w:val="Heading2"/>
        <w:spacing w:before="0"/>
        <w:rPr>
          <w:rStyle w:val="A3"/>
          <w:rFonts w:ascii="Times New Roman" w:hAnsi="Times New Roman" w:cs="Times New Roman"/>
          <w:i/>
          <w:iCs/>
          <w:sz w:val="24"/>
          <w:szCs w:val="24"/>
        </w:rPr>
      </w:pPr>
      <w:r w:rsidRPr="00305983">
        <w:rPr>
          <w:rStyle w:val="A3"/>
          <w:rFonts w:ascii="Times New Roman" w:hAnsi="Times New Roman" w:cs="Times New Roman"/>
          <w:i/>
          <w:iCs/>
          <w:sz w:val="24"/>
          <w:szCs w:val="24"/>
        </w:rPr>
        <w:t>England</w:t>
      </w:r>
    </w:p>
    <w:p w14:paraId="72A3CF04" w14:textId="77777777" w:rsidR="00BA6B2D" w:rsidRPr="00D43FE0" w:rsidRDefault="00BA6B2D" w:rsidP="00BA6B2D">
      <w:pPr>
        <w:rPr>
          <w:lang w:val="en-AU"/>
        </w:rPr>
      </w:pPr>
    </w:p>
    <w:p w14:paraId="3D4A3848" w14:textId="1870AF3D" w:rsidR="0038539F" w:rsidRDefault="00FA17D2" w:rsidP="00D43FE0">
      <w:pPr>
        <w:pStyle w:val="Default"/>
        <w:rPr>
          <w:rStyle w:val="A3"/>
          <w:rFonts w:ascii="Times New Roman" w:hAnsi="Times New Roman" w:cs="Times New Roman"/>
          <w:b w:val="0"/>
          <w:sz w:val="24"/>
          <w:szCs w:val="24"/>
        </w:rPr>
      </w:pPr>
      <w:r w:rsidRPr="00D43FE0">
        <w:rPr>
          <w:rFonts w:ascii="Times New Roman" w:hAnsi="Times New Roman" w:cs="Times New Roman"/>
          <w:lang w:val="en-AU"/>
        </w:rPr>
        <w:t xml:space="preserve">England has 151 universities </w:t>
      </w:r>
      <w:r w:rsidR="00006091" w:rsidRPr="00D43FE0">
        <w:rPr>
          <w:rFonts w:ascii="Times New Roman" w:hAnsi="Times New Roman" w:cs="Times New Roman"/>
          <w:lang w:val="en-AU"/>
        </w:rPr>
        <w:t>(</w:t>
      </w:r>
      <w:hyperlink r:id="rId15" w:history="1">
        <w:r w:rsidR="00006091" w:rsidRPr="00D43FE0">
          <w:rPr>
            <w:rFonts w:ascii="Times New Roman" w:hAnsi="Times New Roman" w:cs="Times New Roman"/>
            <w:lang w:val="en-AU"/>
          </w:rPr>
          <w:t>Department for Business, Innovation &amp; Skills</w:t>
        </w:r>
      </w:hyperlink>
      <w:r w:rsidR="00006091" w:rsidRPr="00D43FE0">
        <w:rPr>
          <w:rFonts w:ascii="Times New Roman" w:hAnsi="Times New Roman" w:cs="Times New Roman"/>
          <w:lang w:val="en-AU"/>
        </w:rPr>
        <w:t xml:space="preserve">, 2013) </w:t>
      </w:r>
      <w:r w:rsidRPr="00D43FE0">
        <w:rPr>
          <w:rFonts w:ascii="Times New Roman" w:hAnsi="Times New Roman" w:cs="Times New Roman"/>
          <w:lang w:val="en-AU"/>
        </w:rPr>
        <w:t xml:space="preserve">and </w:t>
      </w:r>
      <w:r w:rsidR="00006091" w:rsidRPr="00D43FE0">
        <w:rPr>
          <w:rFonts w:ascii="Times New Roman" w:hAnsi="Times New Roman" w:cs="Times New Roman"/>
          <w:lang w:val="en-AU"/>
        </w:rPr>
        <w:t xml:space="preserve">42 members of the Mixed Economy Group </w:t>
      </w:r>
      <w:r w:rsidR="00BD67AB" w:rsidRPr="00D43FE0">
        <w:rPr>
          <w:rFonts w:ascii="Times New Roman" w:hAnsi="Times New Roman" w:cs="Times New Roman"/>
          <w:lang w:val="en-AU"/>
        </w:rPr>
        <w:t>(</w:t>
      </w:r>
      <w:r w:rsidR="00006091" w:rsidRPr="00D43FE0">
        <w:rPr>
          <w:rFonts w:ascii="Times New Roman" w:hAnsi="Times New Roman" w:cs="Times New Roman"/>
          <w:lang w:val="en-AU"/>
        </w:rPr>
        <w:t xml:space="preserve">2013) which are further education colleges with ‘a significant, established, strategic </w:t>
      </w:r>
      <w:r w:rsidR="00006091" w:rsidRPr="00D43FE0">
        <w:rPr>
          <w:rStyle w:val="A3"/>
          <w:rFonts w:ascii="Times New Roman" w:hAnsi="Times New Roman" w:cs="Times New Roman"/>
          <w:b w:val="0"/>
          <w:sz w:val="24"/>
          <w:szCs w:val="24"/>
        </w:rPr>
        <w:t>and developmental role in the provision of higher education’ and thus are the closest analogues to community colleges.</w:t>
      </w:r>
      <w:r w:rsidR="00BD67AB" w:rsidRPr="00D43FE0">
        <w:rPr>
          <w:rStyle w:val="A3"/>
          <w:rFonts w:ascii="Times New Roman" w:hAnsi="Times New Roman" w:cs="Times New Roman"/>
          <w:b w:val="0"/>
          <w:sz w:val="24"/>
          <w:szCs w:val="24"/>
        </w:rPr>
        <w:t xml:space="preserve"> </w:t>
      </w:r>
      <w:r w:rsidR="008B2180" w:rsidRPr="00D43FE0">
        <w:rPr>
          <w:rStyle w:val="A3"/>
          <w:rFonts w:ascii="Times New Roman" w:hAnsi="Times New Roman" w:cs="Times New Roman"/>
          <w:b w:val="0"/>
          <w:sz w:val="24"/>
          <w:szCs w:val="24"/>
        </w:rPr>
        <w:t xml:space="preserve">There is a clear hierarchy of university status closely related to the age at which each university gained its university designation, which is also related to research performance and income. </w:t>
      </w:r>
      <w:r w:rsidR="00176030" w:rsidRPr="00D43FE0">
        <w:rPr>
          <w:rStyle w:val="A3"/>
          <w:rFonts w:ascii="Times New Roman" w:hAnsi="Times New Roman" w:cs="Times New Roman"/>
          <w:b w:val="0"/>
          <w:sz w:val="24"/>
          <w:szCs w:val="24"/>
        </w:rPr>
        <w:t>Nevertheless, the Secretary of State for Business, Innovation and Skills states that ‘</w:t>
      </w:r>
      <w:r w:rsidR="0038539F" w:rsidRPr="00D43FE0">
        <w:rPr>
          <w:rStyle w:val="A3"/>
          <w:rFonts w:ascii="Times New Roman" w:hAnsi="Times New Roman" w:cs="Times New Roman"/>
          <w:b w:val="0"/>
          <w:sz w:val="24"/>
          <w:szCs w:val="24"/>
        </w:rPr>
        <w:t>The boundaries therefore between the university sector and the FE sector are becoming blurred, an</w:t>
      </w:r>
      <w:r w:rsidR="00176030" w:rsidRPr="00D43FE0">
        <w:rPr>
          <w:rStyle w:val="A3"/>
          <w:rFonts w:ascii="Times New Roman" w:hAnsi="Times New Roman" w:cs="Times New Roman"/>
          <w:b w:val="0"/>
          <w:sz w:val="24"/>
          <w:szCs w:val="24"/>
        </w:rPr>
        <w:t xml:space="preserve">d deliberately blurred’ </w:t>
      </w:r>
      <w:r w:rsidR="00AA0830">
        <w:rPr>
          <w:rStyle w:val="A3"/>
          <w:rFonts w:ascii="Times New Roman" w:hAnsi="Times New Roman" w:cs="Times New Roman"/>
          <w:b w:val="0"/>
          <w:sz w:val="24"/>
          <w:szCs w:val="24"/>
        </w:rPr>
        <w:t xml:space="preserve">(Mathews, </w:t>
      </w:r>
      <w:r w:rsidR="00176030" w:rsidRPr="00D43FE0">
        <w:rPr>
          <w:rStyle w:val="A3"/>
          <w:rFonts w:ascii="Times New Roman" w:hAnsi="Times New Roman" w:cs="Times New Roman"/>
          <w:b w:val="0"/>
          <w:sz w:val="24"/>
          <w:szCs w:val="24"/>
        </w:rPr>
        <w:t>2013)</w:t>
      </w:r>
      <w:r w:rsidR="0038539F" w:rsidRPr="00D43FE0">
        <w:rPr>
          <w:rStyle w:val="A3"/>
          <w:rFonts w:ascii="Times New Roman" w:hAnsi="Times New Roman" w:cs="Times New Roman"/>
          <w:b w:val="0"/>
          <w:sz w:val="24"/>
          <w:szCs w:val="24"/>
        </w:rPr>
        <w:t>.</w:t>
      </w:r>
      <w:r w:rsidR="00AA0830">
        <w:rPr>
          <w:rStyle w:val="A3"/>
          <w:rFonts w:ascii="Times New Roman" w:hAnsi="Times New Roman" w:cs="Times New Roman"/>
          <w:b w:val="0"/>
          <w:sz w:val="24"/>
          <w:szCs w:val="24"/>
        </w:rPr>
        <w:t xml:space="preserve"> The Government is seeking to expand the role of further education colleges and private providers in providing higher education. At the moment it is minor and concentrated in diplomas and foundation degrees.</w:t>
      </w:r>
    </w:p>
    <w:p w14:paraId="00D2ABD3" w14:textId="77777777" w:rsidR="000B7299" w:rsidRPr="00D43FE0" w:rsidRDefault="000B7299" w:rsidP="000B7299">
      <w:pPr>
        <w:pStyle w:val="Default"/>
        <w:rPr>
          <w:rStyle w:val="A3"/>
          <w:rFonts w:ascii="Times New Roman" w:hAnsi="Times New Roman" w:cs="Times New Roman"/>
          <w:b w:val="0"/>
          <w:sz w:val="24"/>
          <w:szCs w:val="24"/>
        </w:rPr>
      </w:pPr>
    </w:p>
    <w:p w14:paraId="2D167806" w14:textId="77777777" w:rsidR="000B7299" w:rsidRPr="00305983" w:rsidRDefault="000B7299" w:rsidP="000B7299">
      <w:pPr>
        <w:pStyle w:val="Heading2"/>
        <w:spacing w:before="0"/>
        <w:rPr>
          <w:rStyle w:val="A3"/>
          <w:rFonts w:ascii="Times New Roman" w:hAnsi="Times New Roman" w:cs="Times New Roman"/>
          <w:i/>
          <w:iCs/>
          <w:sz w:val="24"/>
          <w:szCs w:val="24"/>
        </w:rPr>
      </w:pPr>
      <w:r w:rsidRPr="00305983">
        <w:rPr>
          <w:rStyle w:val="A3"/>
          <w:rFonts w:ascii="Times New Roman" w:hAnsi="Times New Roman" w:cs="Times New Roman"/>
          <w:i/>
          <w:iCs/>
          <w:sz w:val="24"/>
          <w:szCs w:val="24"/>
        </w:rPr>
        <w:t>Australia</w:t>
      </w:r>
    </w:p>
    <w:p w14:paraId="520744C3" w14:textId="77777777" w:rsidR="000B7299" w:rsidRDefault="000B7299" w:rsidP="000B7299">
      <w:pPr>
        <w:pStyle w:val="Default"/>
        <w:rPr>
          <w:rStyle w:val="A3"/>
          <w:rFonts w:ascii="Times New Roman" w:hAnsi="Times New Roman" w:cs="Times New Roman"/>
          <w:b w:val="0"/>
          <w:sz w:val="24"/>
          <w:szCs w:val="24"/>
        </w:rPr>
      </w:pPr>
    </w:p>
    <w:p w14:paraId="7BE5D639" w14:textId="4C553379" w:rsidR="000B7299" w:rsidRDefault="00A14453" w:rsidP="000B7299">
      <w:pPr>
        <w:pStyle w:val="Default"/>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Some 95% of </w:t>
      </w:r>
      <w:r w:rsidR="00207657">
        <w:rPr>
          <w:rStyle w:val="A3"/>
          <w:rFonts w:ascii="Times New Roman" w:hAnsi="Times New Roman" w:cs="Times New Roman"/>
          <w:b w:val="0"/>
          <w:sz w:val="24"/>
          <w:szCs w:val="24"/>
        </w:rPr>
        <w:t xml:space="preserve">Australian </w:t>
      </w:r>
      <w:r>
        <w:rPr>
          <w:rStyle w:val="A3"/>
          <w:rFonts w:ascii="Times New Roman" w:hAnsi="Times New Roman" w:cs="Times New Roman"/>
          <w:b w:val="0"/>
          <w:sz w:val="24"/>
          <w:szCs w:val="24"/>
        </w:rPr>
        <w:t xml:space="preserve">higher education enrolments are in </w:t>
      </w:r>
      <w:r w:rsidR="005E1E46">
        <w:rPr>
          <w:rStyle w:val="A3"/>
          <w:rFonts w:ascii="Times New Roman" w:hAnsi="Times New Roman" w:cs="Times New Roman"/>
          <w:b w:val="0"/>
          <w:sz w:val="24"/>
          <w:szCs w:val="24"/>
        </w:rPr>
        <w:t>37</w:t>
      </w:r>
      <w:r w:rsidR="00207657">
        <w:rPr>
          <w:rStyle w:val="A3"/>
          <w:rFonts w:ascii="Times New Roman" w:hAnsi="Times New Roman" w:cs="Times New Roman"/>
          <w:b w:val="0"/>
          <w:sz w:val="24"/>
          <w:szCs w:val="24"/>
        </w:rPr>
        <w:t xml:space="preserve"> </w:t>
      </w:r>
      <w:r>
        <w:rPr>
          <w:rStyle w:val="A3"/>
          <w:rFonts w:ascii="Times New Roman" w:hAnsi="Times New Roman" w:cs="Times New Roman"/>
          <w:b w:val="0"/>
          <w:sz w:val="24"/>
          <w:szCs w:val="24"/>
        </w:rPr>
        <w:t xml:space="preserve">public universities. </w:t>
      </w:r>
      <w:r w:rsidR="00207657">
        <w:rPr>
          <w:rStyle w:val="A3"/>
          <w:rFonts w:ascii="Times New Roman" w:hAnsi="Times New Roman" w:cs="Times New Roman"/>
          <w:b w:val="0"/>
          <w:sz w:val="24"/>
          <w:szCs w:val="24"/>
        </w:rPr>
        <w:t xml:space="preserve">There are 3 small private universities and about 170 private colleges, most of which are also small. Australia’s universities may be </w:t>
      </w:r>
      <w:r w:rsidR="00424B32">
        <w:rPr>
          <w:rStyle w:val="A3"/>
          <w:rFonts w:ascii="Times New Roman" w:hAnsi="Times New Roman" w:cs="Times New Roman"/>
          <w:b w:val="0"/>
          <w:sz w:val="24"/>
          <w:szCs w:val="24"/>
        </w:rPr>
        <w:t>considered in 5 groups, in order of status:</w:t>
      </w:r>
    </w:p>
    <w:p w14:paraId="1540C12D" w14:textId="77777777" w:rsidR="00424B32" w:rsidRDefault="00424B32" w:rsidP="00424B32">
      <w:pPr>
        <w:autoSpaceDE w:val="0"/>
        <w:autoSpaceDN w:val="0"/>
        <w:adjustRightInd w:val="0"/>
        <w:rPr>
          <w:lang w:eastAsia="en-AU"/>
        </w:rPr>
      </w:pPr>
    </w:p>
    <w:p w14:paraId="703F9EB5" w14:textId="36EED0A7" w:rsidR="00424B32" w:rsidRDefault="00424B32" w:rsidP="00424B32">
      <w:pPr>
        <w:autoSpaceDE w:val="0"/>
        <w:autoSpaceDN w:val="0"/>
        <w:adjustRightInd w:val="0"/>
        <w:rPr>
          <w:lang w:eastAsia="en-AU"/>
        </w:rPr>
      </w:pPr>
      <w:r w:rsidRPr="00F01467">
        <w:rPr>
          <w:i/>
          <w:lang w:eastAsia="en-AU"/>
        </w:rPr>
        <w:t>Group of Eight</w:t>
      </w:r>
      <w:r>
        <w:rPr>
          <w:lang w:eastAsia="en-AU"/>
        </w:rPr>
        <w:t xml:space="preserve">: the oldest universities in their mainland capital cities with the biggest research budgets and the biggest accumulations of academic, </w:t>
      </w:r>
      <w:r w:rsidR="001F71FC">
        <w:rPr>
          <w:lang w:eastAsia="en-AU"/>
        </w:rPr>
        <w:t xml:space="preserve">cultural and socio </w:t>
      </w:r>
      <w:r>
        <w:rPr>
          <w:lang w:eastAsia="en-AU"/>
        </w:rPr>
        <w:t>economic capital;</w:t>
      </w:r>
    </w:p>
    <w:p w14:paraId="7DF86C92" w14:textId="77777777" w:rsidR="00424B32" w:rsidRDefault="00424B32" w:rsidP="00424B32">
      <w:pPr>
        <w:autoSpaceDE w:val="0"/>
        <w:autoSpaceDN w:val="0"/>
        <w:adjustRightInd w:val="0"/>
        <w:rPr>
          <w:lang w:eastAsia="en-AU"/>
        </w:rPr>
      </w:pPr>
    </w:p>
    <w:p w14:paraId="3E6A0856" w14:textId="61B73DAB" w:rsidR="00424B32" w:rsidRDefault="00424B32" w:rsidP="00424B32">
      <w:pPr>
        <w:autoSpaceDE w:val="0"/>
        <w:autoSpaceDN w:val="0"/>
        <w:adjustRightInd w:val="0"/>
        <w:rPr>
          <w:lang w:eastAsia="en-AU"/>
        </w:rPr>
      </w:pPr>
      <w:r>
        <w:rPr>
          <w:i/>
          <w:lang w:eastAsia="en-AU"/>
        </w:rPr>
        <w:t xml:space="preserve">technical: </w:t>
      </w:r>
      <w:r>
        <w:rPr>
          <w:lang w:eastAsia="en-AU"/>
        </w:rPr>
        <w:t>6 institut</w:t>
      </w:r>
      <w:r w:rsidR="001F71FC">
        <w:rPr>
          <w:lang w:eastAsia="en-AU"/>
        </w:rPr>
        <w:t>ions, most of which originated in the 19</w:t>
      </w:r>
      <w:r w:rsidR="001F71FC" w:rsidRPr="001F71FC">
        <w:rPr>
          <w:vertAlign w:val="superscript"/>
          <w:lang w:eastAsia="en-AU"/>
        </w:rPr>
        <w:t>th</w:t>
      </w:r>
      <w:r w:rsidR="001F71FC">
        <w:rPr>
          <w:lang w:eastAsia="en-AU"/>
        </w:rPr>
        <w:t xml:space="preserve"> century</w:t>
      </w:r>
      <w:r>
        <w:rPr>
          <w:lang w:eastAsia="en-AU"/>
        </w:rPr>
        <w:t xml:space="preserve"> as technical institutes in a capital city and formally designated a university after 1987;</w:t>
      </w:r>
    </w:p>
    <w:p w14:paraId="53B86AE8" w14:textId="77777777" w:rsidR="00424B32" w:rsidRDefault="00424B32" w:rsidP="00424B32">
      <w:pPr>
        <w:autoSpaceDE w:val="0"/>
        <w:autoSpaceDN w:val="0"/>
        <w:adjustRightInd w:val="0"/>
        <w:rPr>
          <w:lang w:eastAsia="en-AU"/>
        </w:rPr>
      </w:pPr>
    </w:p>
    <w:p w14:paraId="64EA2883" w14:textId="140E6C51" w:rsidR="00424B32" w:rsidRDefault="00424B32" w:rsidP="00424B32">
      <w:pPr>
        <w:autoSpaceDE w:val="0"/>
        <w:autoSpaceDN w:val="0"/>
        <w:adjustRightInd w:val="0"/>
        <w:rPr>
          <w:lang w:eastAsia="en-AU"/>
        </w:rPr>
      </w:pPr>
      <w:r w:rsidRPr="00F01467">
        <w:rPr>
          <w:i/>
          <w:lang w:eastAsia="en-AU"/>
        </w:rPr>
        <w:t>1960s-70s</w:t>
      </w:r>
      <w:r>
        <w:rPr>
          <w:lang w:eastAsia="en-AU"/>
        </w:rPr>
        <w:t>: 8 universities that were established from the mid 1960s to the mid 1970s as distinctively different from the older capital city universities and which have medium sized research budgets;</w:t>
      </w:r>
    </w:p>
    <w:p w14:paraId="64037980" w14:textId="77777777" w:rsidR="00424B32" w:rsidRDefault="00424B32" w:rsidP="00424B32">
      <w:pPr>
        <w:autoSpaceDE w:val="0"/>
        <w:autoSpaceDN w:val="0"/>
        <w:adjustRightInd w:val="0"/>
        <w:rPr>
          <w:lang w:eastAsia="en-AU"/>
        </w:rPr>
      </w:pPr>
    </w:p>
    <w:p w14:paraId="2F12D8D9" w14:textId="085E84F6" w:rsidR="00424B32" w:rsidRDefault="005E1E46" w:rsidP="00424B32">
      <w:pPr>
        <w:autoSpaceDE w:val="0"/>
        <w:autoSpaceDN w:val="0"/>
        <w:adjustRightInd w:val="0"/>
        <w:rPr>
          <w:lang w:eastAsia="en-AU"/>
        </w:rPr>
      </w:pPr>
      <w:r>
        <w:rPr>
          <w:i/>
          <w:lang w:eastAsia="en-AU"/>
        </w:rPr>
        <w:t>n</w:t>
      </w:r>
      <w:r w:rsidR="00424B32" w:rsidRPr="00F01467">
        <w:rPr>
          <w:i/>
          <w:lang w:eastAsia="en-AU"/>
        </w:rPr>
        <w:t>ew generation</w:t>
      </w:r>
      <w:r w:rsidR="00424B32">
        <w:rPr>
          <w:lang w:eastAsia="en-AU"/>
        </w:rPr>
        <w:t xml:space="preserve">: </w:t>
      </w:r>
      <w:r>
        <w:rPr>
          <w:lang w:eastAsia="en-AU"/>
        </w:rPr>
        <w:t xml:space="preserve">7 </w:t>
      </w:r>
      <w:r w:rsidR="00424B32">
        <w:rPr>
          <w:lang w:eastAsia="en-AU"/>
        </w:rPr>
        <w:t>institutions based on former colleges of advanced education that were d</w:t>
      </w:r>
      <w:r w:rsidR="001F71FC">
        <w:rPr>
          <w:lang w:eastAsia="en-AU"/>
        </w:rPr>
        <w:t>esignated as universities after</w:t>
      </w:r>
      <w:r w:rsidR="00424B32">
        <w:rPr>
          <w:lang w:eastAsia="en-AU"/>
        </w:rPr>
        <w:t xml:space="preserve"> 1987, whose research is still developing, and which have most of their student load in citi</w:t>
      </w:r>
      <w:r w:rsidR="001F71FC">
        <w:rPr>
          <w:lang w:eastAsia="en-AU"/>
        </w:rPr>
        <w:t>es of more than 250,000 people;</w:t>
      </w:r>
    </w:p>
    <w:p w14:paraId="0115BA6D" w14:textId="77777777" w:rsidR="00424B32" w:rsidRDefault="00424B32" w:rsidP="00424B32">
      <w:pPr>
        <w:autoSpaceDE w:val="0"/>
        <w:autoSpaceDN w:val="0"/>
        <w:adjustRightInd w:val="0"/>
        <w:rPr>
          <w:lang w:eastAsia="en-AU"/>
        </w:rPr>
      </w:pPr>
    </w:p>
    <w:p w14:paraId="399DA6EA" w14:textId="11286861" w:rsidR="00424B32" w:rsidRDefault="001F71FC" w:rsidP="00424B32">
      <w:pPr>
        <w:autoSpaceDE w:val="0"/>
        <w:autoSpaceDN w:val="0"/>
        <w:adjustRightInd w:val="0"/>
        <w:rPr>
          <w:sz w:val="20"/>
          <w:szCs w:val="20"/>
          <w:lang w:eastAsia="en-AU"/>
        </w:rPr>
      </w:pPr>
      <w:r>
        <w:rPr>
          <w:i/>
          <w:lang w:eastAsia="en-AU"/>
        </w:rPr>
        <w:t>r</w:t>
      </w:r>
      <w:r w:rsidR="00424B32">
        <w:rPr>
          <w:i/>
          <w:lang w:eastAsia="en-AU"/>
        </w:rPr>
        <w:t>egional</w:t>
      </w:r>
      <w:r w:rsidR="00424B32">
        <w:rPr>
          <w:lang w:eastAsia="en-AU"/>
        </w:rPr>
        <w:t xml:space="preserve">: </w:t>
      </w:r>
      <w:r w:rsidR="005E1E46">
        <w:rPr>
          <w:lang w:eastAsia="en-AU"/>
        </w:rPr>
        <w:t xml:space="preserve">10 </w:t>
      </w:r>
      <w:r w:rsidR="00424B32">
        <w:rPr>
          <w:lang w:eastAsia="en-AU"/>
        </w:rPr>
        <w:t>universities with most of their student load in centres with a populat</w:t>
      </w:r>
      <w:r w:rsidR="005E1E46">
        <w:rPr>
          <w:lang w:eastAsia="en-AU"/>
        </w:rPr>
        <w:t>ion of less than 250,000 people (Moodie, 2002 [2012]).</w:t>
      </w:r>
    </w:p>
    <w:p w14:paraId="76F465BE" w14:textId="77777777" w:rsidR="005E1E46" w:rsidRDefault="005E1E46" w:rsidP="00424B32"/>
    <w:p w14:paraId="191E5DDE" w14:textId="1F01D65F" w:rsidR="005E1E46" w:rsidRDefault="005E1E46" w:rsidP="00424B32">
      <w:r>
        <w:t>There are unusually deep demarcations between vocational and higher education which are the main responsibility of different levels of government and have markedly different curriculum, quality assurance, financing and tuition.</w:t>
      </w:r>
    </w:p>
    <w:p w14:paraId="5D8E9F63" w14:textId="77777777" w:rsidR="005E1E46" w:rsidRPr="00F001A5" w:rsidRDefault="005E1E46" w:rsidP="005E1E46">
      <w:pPr>
        <w:shd w:val="clear" w:color="auto" w:fill="FFFFFF"/>
        <w:rPr>
          <w:color w:val="000000"/>
        </w:rPr>
      </w:pPr>
    </w:p>
    <w:p w14:paraId="4385829D" w14:textId="69298468" w:rsidR="005E1E46" w:rsidRPr="00F001A5" w:rsidRDefault="005E1E46" w:rsidP="005E1E46">
      <w:pPr>
        <w:pStyle w:val="Heading1"/>
        <w:spacing w:before="0" w:after="0"/>
        <w:rPr>
          <w:rFonts w:ascii="Times New Roman" w:hAnsi="Times New Roman" w:cs="Times New Roman"/>
          <w:sz w:val="24"/>
          <w:szCs w:val="24"/>
        </w:rPr>
      </w:pPr>
      <w:r>
        <w:rPr>
          <w:rFonts w:ascii="Times New Roman" w:hAnsi="Times New Roman" w:cs="Times New Roman"/>
          <w:sz w:val="24"/>
          <w:szCs w:val="24"/>
        </w:rPr>
        <w:t>Discussion</w:t>
      </w:r>
    </w:p>
    <w:p w14:paraId="73F09F38" w14:textId="77777777" w:rsidR="005E1E46" w:rsidRDefault="005E1E46" w:rsidP="005E1E46">
      <w:pPr>
        <w:shd w:val="clear" w:color="auto" w:fill="FFFFFF"/>
        <w:rPr>
          <w:color w:val="000000"/>
        </w:rPr>
      </w:pPr>
    </w:p>
    <w:p w14:paraId="3365DDDC" w14:textId="673C3C92" w:rsidR="00605626" w:rsidRDefault="00605626" w:rsidP="005E1E46">
      <w:pPr>
        <w:shd w:val="clear" w:color="auto" w:fill="FFFFFF"/>
        <w:rPr>
          <w:color w:val="000000"/>
        </w:rPr>
      </w:pPr>
      <w:r>
        <w:rPr>
          <w:color w:val="000000"/>
        </w:rPr>
        <w:t xml:space="preserve">Ontario, England and Australia are each well advanced in introducing universal or open higher education. </w:t>
      </w:r>
      <w:r w:rsidR="00786B34">
        <w:rPr>
          <w:color w:val="000000"/>
        </w:rPr>
        <w:t xml:space="preserve">More than half of their populations are expected to graduate from tertiary programs; rather higher figures are reported for Australia and the UK </w:t>
      </w:r>
      <w:r w:rsidR="00431D03">
        <w:rPr>
          <w:color w:val="000000"/>
        </w:rPr>
        <w:t>but these include substantial number</w:t>
      </w:r>
      <w:r w:rsidR="0074381B">
        <w:rPr>
          <w:color w:val="000000"/>
        </w:rPr>
        <w:t>s</w:t>
      </w:r>
      <w:r w:rsidR="00431D03">
        <w:rPr>
          <w:color w:val="000000"/>
        </w:rPr>
        <w:t xml:space="preserve"> of international graduates. </w:t>
      </w:r>
      <w:r w:rsidR="00A64407">
        <w:rPr>
          <w:color w:val="000000"/>
        </w:rPr>
        <w:t xml:space="preserve">All 3 jurisdictions are further expanding their higher education, but they are doing so in rather different ways. The Ontario Government has set itself a target and is planning to achieve that </w:t>
      </w:r>
      <w:r w:rsidR="00767947">
        <w:rPr>
          <w:color w:val="000000"/>
        </w:rPr>
        <w:t xml:space="preserve">by inviting submissions from institutions and deciding them in a bureaucratic-rational way. The governments of England and Australia </w:t>
      </w:r>
      <w:r w:rsidR="00860AC0">
        <w:rPr>
          <w:color w:val="000000"/>
        </w:rPr>
        <w:t xml:space="preserve">have not set targets but wish to respond to peoples’ aspiration, while at the same time seeking to shape those aspirations towards technical and vocational education and careers. </w:t>
      </w:r>
      <w:r w:rsidR="00787AED">
        <w:rPr>
          <w:color w:val="000000"/>
        </w:rPr>
        <w:t>Accordingly, England and Australia have decided to remove controls on student enrolments while Ontario maintains targets for the province overall and for each institution.</w:t>
      </w:r>
      <w:r w:rsidR="008235A3">
        <w:rPr>
          <w:color w:val="000000"/>
        </w:rPr>
        <w:t xml:space="preserve"> England and Australia seek to expand the role of private providers, altho with limited success so far, while Ontario largely ignores them. This pattern is broken by the jurisdictions’ approach to colleges. Ontario and England are seeking to expand the role of community and further education colleges, while Australian governments apparently prefer the public technical and further education colleges to concentrate on vocational education.</w:t>
      </w:r>
    </w:p>
    <w:p w14:paraId="048250EC" w14:textId="77777777" w:rsidR="00860AC0" w:rsidRDefault="00860AC0" w:rsidP="005E1E46">
      <w:pPr>
        <w:shd w:val="clear" w:color="auto" w:fill="FFFFFF"/>
        <w:rPr>
          <w:color w:val="000000"/>
        </w:rPr>
      </w:pPr>
    </w:p>
    <w:p w14:paraId="0CF06A19" w14:textId="4BB48008" w:rsidR="00E40E59" w:rsidRPr="00B83978" w:rsidRDefault="00E40E59" w:rsidP="00E40E59">
      <w:pPr>
        <w:pStyle w:val="Default"/>
        <w:rPr>
          <w:rStyle w:val="A3"/>
          <w:rFonts w:ascii="Times New Roman" w:hAnsi="Times New Roman" w:cs="Times New Roman"/>
          <w:b w:val="0"/>
          <w:sz w:val="24"/>
          <w:szCs w:val="24"/>
        </w:rPr>
      </w:pPr>
      <w:r w:rsidRPr="00B83978">
        <w:rPr>
          <w:rStyle w:val="A3"/>
          <w:rFonts w:ascii="Times New Roman" w:hAnsi="Times New Roman" w:cs="Times New Roman"/>
          <w:b w:val="0"/>
          <w:sz w:val="24"/>
          <w:szCs w:val="24"/>
        </w:rPr>
        <w:t>The 3 jurisdictions’ approaches to higher education may be summarised thus (</w:t>
      </w:r>
      <w:r w:rsidRPr="00B83978">
        <w:rPr>
          <w:rStyle w:val="A3"/>
          <w:rFonts w:ascii="Times New Roman" w:hAnsi="Times New Roman" w:cs="Times New Roman"/>
          <w:b w:val="0"/>
          <w:sz w:val="24"/>
          <w:szCs w:val="24"/>
        </w:rPr>
        <w:fldChar w:fldCharType="begin"/>
      </w:r>
      <w:r w:rsidRPr="00B83978">
        <w:rPr>
          <w:rStyle w:val="A3"/>
          <w:rFonts w:ascii="Times New Roman" w:hAnsi="Times New Roman" w:cs="Times New Roman"/>
          <w:b w:val="0"/>
          <w:sz w:val="24"/>
          <w:szCs w:val="24"/>
        </w:rPr>
        <w:instrText xml:space="preserve"> REF _Ref255748908 \h </w:instrText>
      </w:r>
      <w:r w:rsidRPr="00B83978">
        <w:rPr>
          <w:rStyle w:val="A3"/>
          <w:rFonts w:ascii="Times New Roman" w:hAnsi="Times New Roman" w:cs="Times New Roman"/>
          <w:b w:val="0"/>
          <w:sz w:val="24"/>
          <w:szCs w:val="24"/>
        </w:rPr>
      </w:r>
      <w:r w:rsidRPr="00B83978">
        <w:rPr>
          <w:rStyle w:val="A3"/>
          <w:rFonts w:ascii="Times New Roman" w:hAnsi="Times New Roman" w:cs="Times New Roman"/>
          <w:b w:val="0"/>
          <w:sz w:val="24"/>
          <w:szCs w:val="24"/>
        </w:rPr>
        <w:fldChar w:fldCharType="separate"/>
      </w:r>
      <w:r w:rsidR="00B83978" w:rsidRPr="00B83978">
        <w:rPr>
          <w:rFonts w:ascii="Times New Roman" w:hAnsi="Times New Roman" w:cs="Times New Roman"/>
        </w:rPr>
        <w:t xml:space="preserve">Table </w:t>
      </w:r>
      <w:r w:rsidR="00B83978" w:rsidRPr="00B83978">
        <w:rPr>
          <w:rFonts w:ascii="Times New Roman" w:hAnsi="Times New Roman" w:cs="Times New Roman"/>
          <w:noProof/>
        </w:rPr>
        <w:t>8</w:t>
      </w:r>
      <w:r w:rsidRPr="00B83978">
        <w:rPr>
          <w:rStyle w:val="A3"/>
          <w:rFonts w:ascii="Times New Roman" w:hAnsi="Times New Roman" w:cs="Times New Roman"/>
          <w:b w:val="0"/>
          <w:sz w:val="24"/>
          <w:szCs w:val="24"/>
        </w:rPr>
        <w:fldChar w:fldCharType="end"/>
      </w:r>
      <w:r w:rsidRPr="00B83978">
        <w:rPr>
          <w:rStyle w:val="A3"/>
          <w:rFonts w:ascii="Times New Roman" w:hAnsi="Times New Roman" w:cs="Times New Roman"/>
          <w:b w:val="0"/>
          <w:sz w:val="24"/>
          <w:szCs w:val="24"/>
        </w:rPr>
        <w:t>).</w:t>
      </w:r>
    </w:p>
    <w:p w14:paraId="7E2304F7" w14:textId="77777777" w:rsidR="00E40E59" w:rsidRDefault="00E40E59" w:rsidP="00E40E59">
      <w:pPr>
        <w:shd w:val="clear" w:color="auto" w:fill="FFFFFF"/>
        <w:rPr>
          <w:color w:val="000000"/>
        </w:rPr>
      </w:pPr>
    </w:p>
    <w:p w14:paraId="20821192" w14:textId="77777777" w:rsidR="005D41AC" w:rsidRDefault="005D41AC" w:rsidP="00E40E59">
      <w:pPr>
        <w:shd w:val="clear" w:color="auto" w:fill="FFFFFF"/>
        <w:rPr>
          <w:color w:val="000000"/>
        </w:rPr>
      </w:pPr>
    </w:p>
    <w:p w14:paraId="2082674D" w14:textId="77777777" w:rsidR="00E40E59" w:rsidRDefault="00E40E59" w:rsidP="00E40E59">
      <w:pPr>
        <w:shd w:val="clear" w:color="auto" w:fill="FFFFFF"/>
        <w:jc w:val="center"/>
        <w:rPr>
          <w:color w:val="000000"/>
        </w:rPr>
      </w:pPr>
      <w:bookmarkStart w:id="6" w:name="_Ref255748908"/>
      <w:r w:rsidRPr="008952A4">
        <w:rPr>
          <w:color w:val="000000"/>
        </w:rPr>
        <w:t xml:space="preserve">Table </w:t>
      </w:r>
      <w:r w:rsidRPr="008952A4">
        <w:rPr>
          <w:color w:val="000000"/>
        </w:rPr>
        <w:fldChar w:fldCharType="begin"/>
      </w:r>
      <w:r w:rsidRPr="008952A4">
        <w:rPr>
          <w:color w:val="000000"/>
        </w:rPr>
        <w:instrText xml:space="preserve"> SEQ Table \* ARABIC </w:instrText>
      </w:r>
      <w:r w:rsidRPr="008952A4">
        <w:rPr>
          <w:color w:val="000000"/>
        </w:rPr>
        <w:fldChar w:fldCharType="separate"/>
      </w:r>
      <w:r w:rsidR="00B83978">
        <w:rPr>
          <w:noProof/>
          <w:color w:val="000000"/>
        </w:rPr>
        <w:t>8</w:t>
      </w:r>
      <w:r w:rsidRPr="008952A4">
        <w:rPr>
          <w:color w:val="000000"/>
        </w:rPr>
        <w:fldChar w:fldCharType="end"/>
      </w:r>
      <w:bookmarkEnd w:id="6"/>
      <w:r w:rsidRPr="008952A4">
        <w:rPr>
          <w:color w:val="000000"/>
        </w:rPr>
        <w:t>: summary of 3 jurisdictions’ approaches to universal higher education</w:t>
      </w:r>
    </w:p>
    <w:p w14:paraId="45C1BA48" w14:textId="77777777" w:rsidR="00E40E59" w:rsidRDefault="00E40E59" w:rsidP="00E40E59">
      <w:pPr>
        <w:shd w:val="clear" w:color="auto" w:fill="FFFFFF"/>
        <w:rPr>
          <w:color w:val="000000"/>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465"/>
        <w:gridCol w:w="267"/>
        <w:gridCol w:w="2079"/>
        <w:gridCol w:w="2345"/>
        <w:gridCol w:w="2305"/>
      </w:tblGrid>
      <w:tr w:rsidR="00E40E59" w:rsidRPr="00616122" w14:paraId="29958F34" w14:textId="77777777" w:rsidTr="00210E72">
        <w:trPr>
          <w:tblHeader/>
        </w:trPr>
        <w:tc>
          <w:tcPr>
            <w:tcW w:w="2802" w:type="dxa"/>
            <w:gridSpan w:val="2"/>
            <w:tcBorders>
              <w:top w:val="single" w:sz="12" w:space="0" w:color="auto"/>
              <w:bottom w:val="single" w:sz="12" w:space="0" w:color="auto"/>
            </w:tcBorders>
            <w:shd w:val="clear" w:color="auto" w:fill="auto"/>
            <w:vAlign w:val="center"/>
          </w:tcPr>
          <w:p w14:paraId="341436AC" w14:textId="77777777" w:rsidR="00E40E59" w:rsidRPr="00616122" w:rsidRDefault="00E40E59" w:rsidP="005B5F57">
            <w:pPr>
              <w:rPr>
                <w:b/>
                <w:color w:val="000000"/>
              </w:rPr>
            </w:pPr>
            <w:r>
              <w:rPr>
                <w:b/>
                <w:color w:val="000000"/>
              </w:rPr>
              <w:t>Characteristic</w:t>
            </w:r>
          </w:p>
        </w:tc>
        <w:tc>
          <w:tcPr>
            <w:tcW w:w="2126" w:type="dxa"/>
            <w:tcBorders>
              <w:top w:val="single" w:sz="12" w:space="0" w:color="auto"/>
              <w:bottom w:val="single" w:sz="12" w:space="0" w:color="auto"/>
            </w:tcBorders>
            <w:shd w:val="clear" w:color="auto" w:fill="auto"/>
            <w:vAlign w:val="center"/>
          </w:tcPr>
          <w:p w14:paraId="06822826" w14:textId="77777777" w:rsidR="00E40E59" w:rsidRPr="00616122" w:rsidRDefault="00E40E59" w:rsidP="005B5F57">
            <w:pPr>
              <w:jc w:val="center"/>
              <w:rPr>
                <w:b/>
                <w:color w:val="000000"/>
              </w:rPr>
            </w:pPr>
            <w:r w:rsidRPr="00616122">
              <w:rPr>
                <w:b/>
                <w:color w:val="000000"/>
              </w:rPr>
              <w:t>Australia</w:t>
            </w:r>
          </w:p>
        </w:tc>
        <w:tc>
          <w:tcPr>
            <w:tcW w:w="2410" w:type="dxa"/>
            <w:tcBorders>
              <w:top w:val="single" w:sz="12" w:space="0" w:color="auto"/>
              <w:bottom w:val="single" w:sz="12" w:space="0" w:color="auto"/>
            </w:tcBorders>
            <w:shd w:val="clear" w:color="auto" w:fill="auto"/>
            <w:vAlign w:val="center"/>
          </w:tcPr>
          <w:p w14:paraId="4A4AEE1B" w14:textId="77777777" w:rsidR="00E40E59" w:rsidRPr="00616122" w:rsidRDefault="00E40E59" w:rsidP="005B5F57">
            <w:pPr>
              <w:jc w:val="center"/>
              <w:rPr>
                <w:b/>
                <w:color w:val="000000"/>
              </w:rPr>
            </w:pPr>
            <w:r w:rsidRPr="00616122">
              <w:rPr>
                <w:b/>
                <w:color w:val="000000"/>
              </w:rPr>
              <w:t>England</w:t>
            </w:r>
            <w:r>
              <w:rPr>
                <w:b/>
                <w:color w:val="000000"/>
              </w:rPr>
              <w:t xml:space="preserve"> (UK for OECD stats)</w:t>
            </w:r>
          </w:p>
        </w:tc>
        <w:tc>
          <w:tcPr>
            <w:tcW w:w="2339" w:type="dxa"/>
            <w:tcBorders>
              <w:top w:val="single" w:sz="12" w:space="0" w:color="auto"/>
              <w:bottom w:val="single" w:sz="12" w:space="0" w:color="auto"/>
            </w:tcBorders>
            <w:shd w:val="clear" w:color="auto" w:fill="auto"/>
            <w:vAlign w:val="center"/>
          </w:tcPr>
          <w:p w14:paraId="379D5368" w14:textId="77777777" w:rsidR="00E40E59" w:rsidRPr="00616122" w:rsidRDefault="00E40E59" w:rsidP="005B5F57">
            <w:pPr>
              <w:jc w:val="center"/>
              <w:rPr>
                <w:b/>
                <w:color w:val="000000"/>
              </w:rPr>
            </w:pPr>
            <w:r w:rsidRPr="00616122">
              <w:rPr>
                <w:b/>
                <w:color w:val="000000"/>
              </w:rPr>
              <w:t>Ontario</w:t>
            </w:r>
            <w:r>
              <w:rPr>
                <w:b/>
                <w:color w:val="000000"/>
              </w:rPr>
              <w:t xml:space="preserve"> (Canada for OECD stats)</w:t>
            </w:r>
          </w:p>
        </w:tc>
      </w:tr>
      <w:tr w:rsidR="00E40E59" w:rsidRPr="00934B28" w14:paraId="76FB4A77" w14:textId="77777777" w:rsidTr="00210E72">
        <w:tc>
          <w:tcPr>
            <w:tcW w:w="2802" w:type="dxa"/>
            <w:gridSpan w:val="2"/>
            <w:tcBorders>
              <w:top w:val="single" w:sz="12" w:space="0" w:color="auto"/>
              <w:bottom w:val="single" w:sz="4" w:space="0" w:color="auto"/>
            </w:tcBorders>
            <w:shd w:val="clear" w:color="auto" w:fill="auto"/>
            <w:vAlign w:val="center"/>
          </w:tcPr>
          <w:p w14:paraId="69A3903C" w14:textId="77777777" w:rsidR="00E40E59" w:rsidRPr="00934B28" w:rsidRDefault="00E40E59" w:rsidP="005B5F57">
            <w:pPr>
              <w:rPr>
                <w:color w:val="000000"/>
              </w:rPr>
            </w:pPr>
            <w:r>
              <w:rPr>
                <w:color w:val="000000"/>
              </w:rPr>
              <w:t>Tertiary g</w:t>
            </w:r>
            <w:r w:rsidRPr="00934B28">
              <w:rPr>
                <w:color w:val="000000"/>
              </w:rPr>
              <w:t>raduation rate</w:t>
            </w:r>
          </w:p>
        </w:tc>
        <w:tc>
          <w:tcPr>
            <w:tcW w:w="2126" w:type="dxa"/>
            <w:tcBorders>
              <w:top w:val="single" w:sz="12" w:space="0" w:color="auto"/>
              <w:bottom w:val="single" w:sz="4" w:space="0" w:color="auto"/>
            </w:tcBorders>
            <w:shd w:val="clear" w:color="auto" w:fill="auto"/>
            <w:vAlign w:val="center"/>
          </w:tcPr>
          <w:p w14:paraId="42E13F8A" w14:textId="77777777" w:rsidR="00E40E59" w:rsidRPr="00934B28" w:rsidRDefault="00E40E59" w:rsidP="005B5F57">
            <w:pPr>
              <w:jc w:val="center"/>
              <w:rPr>
                <w:color w:val="000000"/>
              </w:rPr>
            </w:pPr>
            <w:r>
              <w:rPr>
                <w:color w:val="000000"/>
              </w:rPr>
              <w:t>67</w:t>
            </w:r>
          </w:p>
        </w:tc>
        <w:tc>
          <w:tcPr>
            <w:tcW w:w="2410" w:type="dxa"/>
            <w:tcBorders>
              <w:top w:val="single" w:sz="12" w:space="0" w:color="auto"/>
              <w:bottom w:val="single" w:sz="4" w:space="0" w:color="auto"/>
            </w:tcBorders>
            <w:shd w:val="clear" w:color="auto" w:fill="auto"/>
            <w:vAlign w:val="center"/>
          </w:tcPr>
          <w:p w14:paraId="564F60A1" w14:textId="77777777" w:rsidR="00E40E59" w:rsidRPr="00934B28" w:rsidRDefault="00E40E59" w:rsidP="005B5F57">
            <w:pPr>
              <w:jc w:val="center"/>
              <w:rPr>
                <w:color w:val="000000"/>
              </w:rPr>
            </w:pPr>
            <w:r>
              <w:rPr>
                <w:color w:val="000000"/>
              </w:rPr>
              <w:t>63</w:t>
            </w:r>
          </w:p>
        </w:tc>
        <w:tc>
          <w:tcPr>
            <w:tcW w:w="2339" w:type="dxa"/>
            <w:tcBorders>
              <w:top w:val="single" w:sz="12" w:space="0" w:color="auto"/>
              <w:bottom w:val="single" w:sz="4" w:space="0" w:color="auto"/>
            </w:tcBorders>
            <w:shd w:val="clear" w:color="auto" w:fill="auto"/>
            <w:vAlign w:val="center"/>
          </w:tcPr>
          <w:p w14:paraId="3E3AF5FA" w14:textId="77777777" w:rsidR="00E40E59" w:rsidRPr="00934B28" w:rsidRDefault="00E40E59" w:rsidP="005B5F57">
            <w:pPr>
              <w:jc w:val="center"/>
              <w:rPr>
                <w:color w:val="000000"/>
              </w:rPr>
            </w:pPr>
            <w:r>
              <w:rPr>
                <w:color w:val="000000"/>
              </w:rPr>
              <w:t>53</w:t>
            </w:r>
          </w:p>
        </w:tc>
      </w:tr>
      <w:tr w:rsidR="00E40E59" w:rsidRPr="00855E88" w14:paraId="5E1C33EC" w14:textId="77777777" w:rsidTr="00210E72">
        <w:tc>
          <w:tcPr>
            <w:tcW w:w="2802" w:type="dxa"/>
            <w:gridSpan w:val="2"/>
            <w:tcBorders>
              <w:top w:val="single" w:sz="4" w:space="0" w:color="auto"/>
              <w:bottom w:val="single" w:sz="4" w:space="0" w:color="auto"/>
            </w:tcBorders>
            <w:shd w:val="clear" w:color="auto" w:fill="auto"/>
            <w:vAlign w:val="center"/>
          </w:tcPr>
          <w:p w14:paraId="21649E7C" w14:textId="77777777" w:rsidR="00E40E59" w:rsidRPr="00855E88" w:rsidRDefault="00E40E59" w:rsidP="005B5F57">
            <w:pPr>
              <w:rPr>
                <w:color w:val="000000"/>
              </w:rPr>
            </w:pPr>
            <w:r>
              <w:rPr>
                <w:color w:val="000000"/>
              </w:rPr>
              <w:t>Type A as % of all tertiary</w:t>
            </w:r>
          </w:p>
        </w:tc>
        <w:tc>
          <w:tcPr>
            <w:tcW w:w="2126" w:type="dxa"/>
            <w:tcBorders>
              <w:top w:val="single" w:sz="4" w:space="0" w:color="auto"/>
              <w:bottom w:val="single" w:sz="4" w:space="0" w:color="auto"/>
            </w:tcBorders>
            <w:shd w:val="clear" w:color="auto" w:fill="auto"/>
            <w:vAlign w:val="center"/>
          </w:tcPr>
          <w:p w14:paraId="2C20BA37" w14:textId="77777777" w:rsidR="00E40E59" w:rsidRPr="00855E88" w:rsidRDefault="00E40E59" w:rsidP="005B5F57">
            <w:pPr>
              <w:jc w:val="center"/>
              <w:rPr>
                <w:color w:val="000000"/>
              </w:rPr>
            </w:pPr>
            <w:r>
              <w:rPr>
                <w:color w:val="000000"/>
              </w:rPr>
              <w:t>75</w:t>
            </w:r>
          </w:p>
        </w:tc>
        <w:tc>
          <w:tcPr>
            <w:tcW w:w="2410" w:type="dxa"/>
            <w:tcBorders>
              <w:top w:val="single" w:sz="4" w:space="0" w:color="auto"/>
              <w:bottom w:val="single" w:sz="4" w:space="0" w:color="auto"/>
            </w:tcBorders>
            <w:shd w:val="clear" w:color="auto" w:fill="auto"/>
            <w:vAlign w:val="center"/>
          </w:tcPr>
          <w:p w14:paraId="7E94882C" w14:textId="77777777" w:rsidR="00E40E59" w:rsidRPr="00855E88" w:rsidRDefault="00E40E59" w:rsidP="005B5F57">
            <w:pPr>
              <w:jc w:val="center"/>
              <w:rPr>
                <w:color w:val="000000"/>
              </w:rPr>
            </w:pPr>
            <w:r>
              <w:rPr>
                <w:color w:val="000000"/>
              </w:rPr>
              <w:t>80</w:t>
            </w:r>
          </w:p>
        </w:tc>
        <w:tc>
          <w:tcPr>
            <w:tcW w:w="2339" w:type="dxa"/>
            <w:tcBorders>
              <w:top w:val="single" w:sz="4" w:space="0" w:color="auto"/>
              <w:bottom w:val="single" w:sz="4" w:space="0" w:color="auto"/>
            </w:tcBorders>
            <w:shd w:val="clear" w:color="auto" w:fill="auto"/>
            <w:vAlign w:val="center"/>
          </w:tcPr>
          <w:p w14:paraId="23390908" w14:textId="77777777" w:rsidR="00E40E59" w:rsidRPr="00855E88" w:rsidRDefault="00E40E59" w:rsidP="005B5F57">
            <w:pPr>
              <w:jc w:val="center"/>
              <w:rPr>
                <w:color w:val="000000"/>
              </w:rPr>
            </w:pPr>
            <w:r>
              <w:rPr>
                <w:color w:val="000000"/>
              </w:rPr>
              <w:t>66</w:t>
            </w:r>
          </w:p>
        </w:tc>
      </w:tr>
      <w:tr w:rsidR="00E40E59" w:rsidRPr="00855E88" w14:paraId="37B84BF5" w14:textId="77777777" w:rsidTr="00210E72">
        <w:tc>
          <w:tcPr>
            <w:tcW w:w="2802" w:type="dxa"/>
            <w:gridSpan w:val="2"/>
            <w:tcBorders>
              <w:top w:val="single" w:sz="4" w:space="0" w:color="auto"/>
              <w:bottom w:val="single" w:sz="4" w:space="0" w:color="auto"/>
            </w:tcBorders>
            <w:shd w:val="clear" w:color="auto" w:fill="auto"/>
            <w:vAlign w:val="center"/>
          </w:tcPr>
          <w:p w14:paraId="7B00D187" w14:textId="77777777" w:rsidR="00E40E59" w:rsidRPr="00855E88" w:rsidRDefault="00E40E59" w:rsidP="005B5F57">
            <w:pPr>
              <w:rPr>
                <w:color w:val="000000"/>
              </w:rPr>
            </w:pPr>
            <w:r w:rsidRPr="00855E88">
              <w:rPr>
                <w:color w:val="000000"/>
              </w:rPr>
              <w:t>Growth target?</w:t>
            </w:r>
          </w:p>
        </w:tc>
        <w:tc>
          <w:tcPr>
            <w:tcW w:w="2126" w:type="dxa"/>
            <w:tcBorders>
              <w:top w:val="single" w:sz="4" w:space="0" w:color="auto"/>
              <w:bottom w:val="single" w:sz="4" w:space="0" w:color="auto"/>
            </w:tcBorders>
            <w:shd w:val="clear" w:color="auto" w:fill="auto"/>
            <w:vAlign w:val="center"/>
          </w:tcPr>
          <w:p w14:paraId="69731E5A" w14:textId="77777777" w:rsidR="00E40E59" w:rsidRPr="00855E88" w:rsidRDefault="00E40E59" w:rsidP="005B5F57">
            <w:pPr>
              <w:jc w:val="center"/>
              <w:rPr>
                <w:color w:val="000000"/>
              </w:rPr>
            </w:pPr>
            <w:r w:rsidRPr="00855E88">
              <w:rPr>
                <w:color w:val="000000"/>
              </w:rPr>
              <w:t>No</w:t>
            </w:r>
          </w:p>
        </w:tc>
        <w:tc>
          <w:tcPr>
            <w:tcW w:w="2410" w:type="dxa"/>
            <w:tcBorders>
              <w:top w:val="single" w:sz="4" w:space="0" w:color="auto"/>
              <w:bottom w:val="single" w:sz="4" w:space="0" w:color="auto"/>
            </w:tcBorders>
            <w:shd w:val="clear" w:color="auto" w:fill="auto"/>
            <w:vAlign w:val="center"/>
          </w:tcPr>
          <w:p w14:paraId="00605BB5" w14:textId="77777777" w:rsidR="00E40E59" w:rsidRPr="00855E88" w:rsidRDefault="00E40E59" w:rsidP="005B5F57">
            <w:pPr>
              <w:jc w:val="center"/>
              <w:rPr>
                <w:color w:val="000000"/>
              </w:rPr>
            </w:pPr>
            <w:r w:rsidRPr="00855E88">
              <w:rPr>
                <w:color w:val="000000"/>
              </w:rPr>
              <w:t>No</w:t>
            </w:r>
          </w:p>
        </w:tc>
        <w:tc>
          <w:tcPr>
            <w:tcW w:w="2339" w:type="dxa"/>
            <w:tcBorders>
              <w:top w:val="single" w:sz="4" w:space="0" w:color="auto"/>
              <w:bottom w:val="single" w:sz="4" w:space="0" w:color="auto"/>
            </w:tcBorders>
            <w:shd w:val="clear" w:color="auto" w:fill="auto"/>
            <w:vAlign w:val="center"/>
          </w:tcPr>
          <w:p w14:paraId="0BAAEFA5" w14:textId="77777777" w:rsidR="00E40E59" w:rsidRPr="00855E88" w:rsidRDefault="00E40E59" w:rsidP="005B5F57">
            <w:pPr>
              <w:jc w:val="center"/>
              <w:rPr>
                <w:color w:val="000000"/>
              </w:rPr>
            </w:pPr>
            <w:r w:rsidRPr="00855E88">
              <w:rPr>
                <w:color w:val="000000"/>
              </w:rPr>
              <w:t>Yes</w:t>
            </w:r>
          </w:p>
        </w:tc>
      </w:tr>
      <w:tr w:rsidR="00E40E59" w:rsidRPr="002E1325" w14:paraId="6A0D3981" w14:textId="77777777" w:rsidTr="00210E72">
        <w:tc>
          <w:tcPr>
            <w:tcW w:w="2518" w:type="dxa"/>
            <w:tcBorders>
              <w:top w:val="single" w:sz="4" w:space="0" w:color="auto"/>
              <w:bottom w:val="single" w:sz="4" w:space="0" w:color="auto"/>
            </w:tcBorders>
            <w:shd w:val="clear" w:color="auto" w:fill="auto"/>
            <w:vAlign w:val="center"/>
          </w:tcPr>
          <w:p w14:paraId="3446D501" w14:textId="77777777" w:rsidR="00E40E59" w:rsidRPr="002E1325" w:rsidRDefault="00E40E59" w:rsidP="005B5F57">
            <w:pPr>
              <w:rPr>
                <w:color w:val="000000"/>
              </w:rPr>
            </w:pPr>
            <w:r>
              <w:rPr>
                <w:color w:val="000000"/>
              </w:rPr>
              <w:t>Policy implementation</w:t>
            </w:r>
          </w:p>
        </w:tc>
        <w:tc>
          <w:tcPr>
            <w:tcW w:w="2410" w:type="dxa"/>
            <w:gridSpan w:val="2"/>
            <w:tcBorders>
              <w:top w:val="single" w:sz="4" w:space="0" w:color="auto"/>
              <w:bottom w:val="single" w:sz="4" w:space="0" w:color="auto"/>
            </w:tcBorders>
            <w:shd w:val="clear" w:color="auto" w:fill="auto"/>
            <w:vAlign w:val="center"/>
          </w:tcPr>
          <w:p w14:paraId="1C665E35" w14:textId="77777777" w:rsidR="00E40E59" w:rsidRPr="002E1325" w:rsidRDefault="00E40E59" w:rsidP="005B5F57">
            <w:pPr>
              <w:jc w:val="center"/>
              <w:rPr>
                <w:color w:val="000000"/>
              </w:rPr>
            </w:pPr>
            <w:r>
              <w:rPr>
                <w:color w:val="000000"/>
              </w:rPr>
              <w:t>Government market</w:t>
            </w:r>
          </w:p>
        </w:tc>
        <w:tc>
          <w:tcPr>
            <w:tcW w:w="2410" w:type="dxa"/>
            <w:tcBorders>
              <w:top w:val="single" w:sz="4" w:space="0" w:color="auto"/>
              <w:bottom w:val="single" w:sz="4" w:space="0" w:color="auto"/>
            </w:tcBorders>
            <w:shd w:val="clear" w:color="auto" w:fill="auto"/>
            <w:vAlign w:val="center"/>
          </w:tcPr>
          <w:p w14:paraId="1E38DEBD" w14:textId="77777777" w:rsidR="00E40E59" w:rsidRPr="002E1325" w:rsidRDefault="00E40E59" w:rsidP="005B5F57">
            <w:pPr>
              <w:jc w:val="center"/>
              <w:rPr>
                <w:color w:val="000000"/>
              </w:rPr>
            </w:pPr>
            <w:r>
              <w:rPr>
                <w:color w:val="000000"/>
              </w:rPr>
              <w:t>Government market</w:t>
            </w:r>
          </w:p>
        </w:tc>
        <w:tc>
          <w:tcPr>
            <w:tcW w:w="2339" w:type="dxa"/>
            <w:tcBorders>
              <w:top w:val="single" w:sz="4" w:space="0" w:color="auto"/>
              <w:bottom w:val="single" w:sz="4" w:space="0" w:color="auto"/>
            </w:tcBorders>
            <w:shd w:val="clear" w:color="auto" w:fill="auto"/>
            <w:vAlign w:val="center"/>
          </w:tcPr>
          <w:p w14:paraId="06C5B714" w14:textId="77777777" w:rsidR="00E40E59" w:rsidRPr="002E1325" w:rsidRDefault="00E40E59" w:rsidP="005B5F57">
            <w:pPr>
              <w:jc w:val="center"/>
              <w:rPr>
                <w:color w:val="000000"/>
              </w:rPr>
            </w:pPr>
            <w:r>
              <w:rPr>
                <w:color w:val="000000"/>
              </w:rPr>
              <w:t>Government planning</w:t>
            </w:r>
          </w:p>
        </w:tc>
      </w:tr>
      <w:tr w:rsidR="00E40E59" w:rsidRPr="00616122" w14:paraId="7501DE36" w14:textId="77777777" w:rsidTr="00210E72">
        <w:tc>
          <w:tcPr>
            <w:tcW w:w="2518" w:type="dxa"/>
            <w:tcBorders>
              <w:top w:val="single" w:sz="4" w:space="0" w:color="auto"/>
            </w:tcBorders>
            <w:shd w:val="clear" w:color="auto" w:fill="auto"/>
            <w:vAlign w:val="center"/>
          </w:tcPr>
          <w:p w14:paraId="1863EF65" w14:textId="77777777" w:rsidR="00E40E59" w:rsidRPr="00616122" w:rsidRDefault="00E40E59" w:rsidP="005B5F57">
            <w:pPr>
              <w:rPr>
                <w:color w:val="000000"/>
              </w:rPr>
            </w:pPr>
            <w:r w:rsidRPr="00616122">
              <w:rPr>
                <w:color w:val="000000"/>
              </w:rPr>
              <w:t>F</w:t>
            </w:r>
            <w:r>
              <w:rPr>
                <w:color w:val="222222"/>
              </w:rPr>
              <w:t>inancing</w:t>
            </w:r>
          </w:p>
        </w:tc>
        <w:tc>
          <w:tcPr>
            <w:tcW w:w="2410" w:type="dxa"/>
            <w:gridSpan w:val="2"/>
            <w:tcBorders>
              <w:top w:val="single" w:sz="4" w:space="0" w:color="auto"/>
            </w:tcBorders>
            <w:shd w:val="clear" w:color="auto" w:fill="auto"/>
            <w:vAlign w:val="center"/>
          </w:tcPr>
          <w:p w14:paraId="4CE3ADE3" w14:textId="77777777" w:rsidR="00E40E59" w:rsidRPr="00616122" w:rsidRDefault="00E40E59" w:rsidP="005B5F57">
            <w:pPr>
              <w:jc w:val="center"/>
              <w:rPr>
                <w:color w:val="000000"/>
              </w:rPr>
            </w:pPr>
            <w:r w:rsidRPr="00616122">
              <w:rPr>
                <w:color w:val="000000"/>
              </w:rPr>
              <w:t>Open ended</w:t>
            </w:r>
          </w:p>
        </w:tc>
        <w:tc>
          <w:tcPr>
            <w:tcW w:w="2410" w:type="dxa"/>
            <w:tcBorders>
              <w:top w:val="single" w:sz="4" w:space="0" w:color="auto"/>
            </w:tcBorders>
            <w:shd w:val="clear" w:color="auto" w:fill="auto"/>
            <w:vAlign w:val="center"/>
          </w:tcPr>
          <w:p w14:paraId="5592C025" w14:textId="77777777" w:rsidR="00E40E59" w:rsidRPr="00616122" w:rsidRDefault="00E40E59" w:rsidP="005B5F57">
            <w:pPr>
              <w:jc w:val="center"/>
              <w:rPr>
                <w:color w:val="000000"/>
              </w:rPr>
            </w:pPr>
            <w:r>
              <w:rPr>
                <w:color w:val="000000"/>
              </w:rPr>
              <w:t>Planned open ended</w:t>
            </w:r>
          </w:p>
        </w:tc>
        <w:tc>
          <w:tcPr>
            <w:tcW w:w="2339" w:type="dxa"/>
            <w:tcBorders>
              <w:top w:val="single" w:sz="4" w:space="0" w:color="auto"/>
            </w:tcBorders>
            <w:shd w:val="clear" w:color="auto" w:fill="auto"/>
            <w:vAlign w:val="center"/>
          </w:tcPr>
          <w:p w14:paraId="79E22DBE" w14:textId="77777777" w:rsidR="00E40E59" w:rsidRPr="00616122" w:rsidRDefault="00E40E59" w:rsidP="005B5F57">
            <w:pPr>
              <w:jc w:val="center"/>
              <w:rPr>
                <w:color w:val="000000"/>
              </w:rPr>
            </w:pPr>
            <w:r w:rsidRPr="00616122">
              <w:rPr>
                <w:color w:val="000000"/>
              </w:rPr>
              <w:t>Planned increase</w:t>
            </w:r>
          </w:p>
        </w:tc>
      </w:tr>
      <w:tr w:rsidR="00E40E59" w:rsidRPr="00616122" w14:paraId="6DB6E50B" w14:textId="77777777" w:rsidTr="00210E72">
        <w:tc>
          <w:tcPr>
            <w:tcW w:w="2518" w:type="dxa"/>
            <w:tcBorders>
              <w:top w:val="single" w:sz="4" w:space="0" w:color="auto"/>
            </w:tcBorders>
            <w:shd w:val="clear" w:color="auto" w:fill="auto"/>
            <w:vAlign w:val="center"/>
          </w:tcPr>
          <w:p w14:paraId="63B6B820" w14:textId="77777777" w:rsidR="00E40E59" w:rsidRPr="00616122" w:rsidRDefault="00E40E59" w:rsidP="005B5F57">
            <w:pPr>
              <w:rPr>
                <w:color w:val="000000"/>
              </w:rPr>
            </w:pPr>
            <w:r>
              <w:rPr>
                <w:color w:val="000000"/>
              </w:rPr>
              <w:t>Average fees AUD</w:t>
            </w:r>
          </w:p>
        </w:tc>
        <w:tc>
          <w:tcPr>
            <w:tcW w:w="2410" w:type="dxa"/>
            <w:gridSpan w:val="2"/>
            <w:tcBorders>
              <w:top w:val="single" w:sz="4" w:space="0" w:color="auto"/>
            </w:tcBorders>
            <w:shd w:val="clear" w:color="auto" w:fill="auto"/>
            <w:vAlign w:val="center"/>
          </w:tcPr>
          <w:p w14:paraId="73C27CDD" w14:textId="77777777" w:rsidR="00E40E59" w:rsidRPr="00616122" w:rsidRDefault="00E40E59" w:rsidP="005B5F57">
            <w:pPr>
              <w:jc w:val="center"/>
              <w:rPr>
                <w:color w:val="000000"/>
              </w:rPr>
            </w:pPr>
            <w:r>
              <w:rPr>
                <w:color w:val="000000"/>
              </w:rPr>
              <w:t>7,713</w:t>
            </w:r>
          </w:p>
        </w:tc>
        <w:tc>
          <w:tcPr>
            <w:tcW w:w="2410" w:type="dxa"/>
            <w:tcBorders>
              <w:top w:val="single" w:sz="4" w:space="0" w:color="auto"/>
            </w:tcBorders>
            <w:shd w:val="clear" w:color="auto" w:fill="auto"/>
            <w:vAlign w:val="center"/>
          </w:tcPr>
          <w:p w14:paraId="073D10F1" w14:textId="77777777" w:rsidR="00E40E59" w:rsidRDefault="00E40E59" w:rsidP="005B5F57">
            <w:pPr>
              <w:jc w:val="center"/>
              <w:rPr>
                <w:color w:val="000000"/>
              </w:rPr>
            </w:pPr>
            <w:r>
              <w:rPr>
                <w:color w:val="000000"/>
              </w:rPr>
              <w:t>15,480</w:t>
            </w:r>
          </w:p>
        </w:tc>
        <w:tc>
          <w:tcPr>
            <w:tcW w:w="2339" w:type="dxa"/>
            <w:tcBorders>
              <w:top w:val="single" w:sz="4" w:space="0" w:color="auto"/>
            </w:tcBorders>
            <w:shd w:val="clear" w:color="auto" w:fill="auto"/>
            <w:vAlign w:val="center"/>
          </w:tcPr>
          <w:p w14:paraId="4CBF9B55" w14:textId="77777777" w:rsidR="00E40E59" w:rsidRPr="00616122" w:rsidRDefault="00E40E59" w:rsidP="005B5F57">
            <w:pPr>
              <w:jc w:val="center"/>
              <w:rPr>
                <w:color w:val="000000"/>
              </w:rPr>
            </w:pPr>
            <w:r>
              <w:rPr>
                <w:color w:val="000000"/>
              </w:rPr>
              <w:t>6,945</w:t>
            </w:r>
          </w:p>
        </w:tc>
      </w:tr>
      <w:tr w:rsidR="00E40E59" w:rsidRPr="00616122" w14:paraId="1325B665" w14:textId="77777777" w:rsidTr="00210E72">
        <w:tc>
          <w:tcPr>
            <w:tcW w:w="2518" w:type="dxa"/>
            <w:tcBorders>
              <w:top w:val="single" w:sz="4" w:space="0" w:color="auto"/>
            </w:tcBorders>
            <w:shd w:val="clear" w:color="auto" w:fill="auto"/>
            <w:vAlign w:val="center"/>
          </w:tcPr>
          <w:p w14:paraId="1C7DB6AF" w14:textId="77777777" w:rsidR="00E40E59" w:rsidRDefault="00E40E59" w:rsidP="005B5F57">
            <w:pPr>
              <w:rPr>
                <w:color w:val="000000"/>
              </w:rPr>
            </w:pPr>
            <w:r>
              <w:rPr>
                <w:color w:val="000000"/>
              </w:rPr>
              <w:t>Average fees CAD</w:t>
            </w:r>
          </w:p>
        </w:tc>
        <w:tc>
          <w:tcPr>
            <w:tcW w:w="2410" w:type="dxa"/>
            <w:gridSpan w:val="2"/>
            <w:tcBorders>
              <w:top w:val="single" w:sz="4" w:space="0" w:color="auto"/>
            </w:tcBorders>
            <w:shd w:val="clear" w:color="auto" w:fill="auto"/>
            <w:vAlign w:val="center"/>
          </w:tcPr>
          <w:p w14:paraId="1DD60967" w14:textId="77777777" w:rsidR="00E40E59" w:rsidRPr="00616122" w:rsidRDefault="00E40E59" w:rsidP="005B5F57">
            <w:pPr>
              <w:jc w:val="center"/>
              <w:rPr>
                <w:color w:val="000000"/>
              </w:rPr>
            </w:pPr>
            <w:r>
              <w:rPr>
                <w:color w:val="000000"/>
              </w:rPr>
              <w:t>7,781</w:t>
            </w:r>
          </w:p>
        </w:tc>
        <w:tc>
          <w:tcPr>
            <w:tcW w:w="2410" w:type="dxa"/>
            <w:tcBorders>
              <w:top w:val="single" w:sz="4" w:space="0" w:color="auto"/>
            </w:tcBorders>
            <w:shd w:val="clear" w:color="auto" w:fill="auto"/>
            <w:vAlign w:val="center"/>
          </w:tcPr>
          <w:p w14:paraId="3733863E" w14:textId="77777777" w:rsidR="00E40E59" w:rsidRDefault="00E40E59" w:rsidP="005B5F57">
            <w:pPr>
              <w:jc w:val="center"/>
              <w:rPr>
                <w:color w:val="000000"/>
              </w:rPr>
            </w:pPr>
            <w:r>
              <w:rPr>
                <w:color w:val="000000"/>
              </w:rPr>
              <w:t>15,608</w:t>
            </w:r>
          </w:p>
        </w:tc>
        <w:tc>
          <w:tcPr>
            <w:tcW w:w="2339" w:type="dxa"/>
            <w:tcBorders>
              <w:top w:val="single" w:sz="4" w:space="0" w:color="auto"/>
            </w:tcBorders>
            <w:shd w:val="clear" w:color="auto" w:fill="auto"/>
            <w:vAlign w:val="center"/>
          </w:tcPr>
          <w:p w14:paraId="4EB1B97C" w14:textId="77777777" w:rsidR="00E40E59" w:rsidRPr="00616122" w:rsidRDefault="00E40E59" w:rsidP="005B5F57">
            <w:pPr>
              <w:jc w:val="center"/>
              <w:rPr>
                <w:color w:val="000000"/>
              </w:rPr>
            </w:pPr>
            <w:r>
              <w:rPr>
                <w:color w:val="000000"/>
              </w:rPr>
              <w:t>7,000</w:t>
            </w:r>
          </w:p>
        </w:tc>
      </w:tr>
      <w:tr w:rsidR="00E40E59" w:rsidRPr="00616122" w14:paraId="1D83F00D" w14:textId="77777777" w:rsidTr="00210E72">
        <w:tc>
          <w:tcPr>
            <w:tcW w:w="2518" w:type="dxa"/>
            <w:tcBorders>
              <w:top w:val="single" w:sz="4" w:space="0" w:color="auto"/>
            </w:tcBorders>
            <w:shd w:val="clear" w:color="auto" w:fill="auto"/>
            <w:vAlign w:val="center"/>
          </w:tcPr>
          <w:p w14:paraId="28D30D32" w14:textId="77777777" w:rsidR="00E40E59" w:rsidRDefault="00E40E59" w:rsidP="005B5F57">
            <w:pPr>
              <w:rPr>
                <w:color w:val="000000"/>
              </w:rPr>
            </w:pPr>
            <w:r>
              <w:rPr>
                <w:color w:val="000000"/>
              </w:rPr>
              <w:t xml:space="preserve">Average fees </w:t>
            </w:r>
            <w:r w:rsidRPr="00C46FCD">
              <w:rPr>
                <w:rStyle w:val="A3"/>
                <w:rFonts w:cs="Times New Roman"/>
                <w:b w:val="0"/>
                <w:sz w:val="24"/>
                <w:szCs w:val="24"/>
              </w:rPr>
              <w:t>£</w:t>
            </w:r>
          </w:p>
        </w:tc>
        <w:tc>
          <w:tcPr>
            <w:tcW w:w="2410" w:type="dxa"/>
            <w:gridSpan w:val="2"/>
            <w:tcBorders>
              <w:top w:val="single" w:sz="4" w:space="0" w:color="auto"/>
            </w:tcBorders>
            <w:shd w:val="clear" w:color="auto" w:fill="auto"/>
            <w:vAlign w:val="center"/>
          </w:tcPr>
          <w:p w14:paraId="43ADFC19" w14:textId="77777777" w:rsidR="00E40E59" w:rsidRPr="00616122" w:rsidRDefault="00E40E59" w:rsidP="005B5F57">
            <w:pPr>
              <w:jc w:val="center"/>
              <w:rPr>
                <w:color w:val="000000"/>
              </w:rPr>
            </w:pPr>
            <w:r>
              <w:rPr>
                <w:color w:val="000000"/>
              </w:rPr>
              <w:t>4,197</w:t>
            </w:r>
          </w:p>
        </w:tc>
        <w:tc>
          <w:tcPr>
            <w:tcW w:w="2410" w:type="dxa"/>
            <w:tcBorders>
              <w:top w:val="single" w:sz="4" w:space="0" w:color="auto"/>
            </w:tcBorders>
            <w:shd w:val="clear" w:color="auto" w:fill="auto"/>
            <w:vAlign w:val="center"/>
          </w:tcPr>
          <w:p w14:paraId="04AD291F" w14:textId="77777777" w:rsidR="00E40E59" w:rsidRPr="00364DE8" w:rsidRDefault="00E40E59" w:rsidP="005B5F57">
            <w:pPr>
              <w:jc w:val="center"/>
              <w:rPr>
                <w:color w:val="000000"/>
              </w:rPr>
            </w:pPr>
            <w:r w:rsidRPr="00364DE8">
              <w:t>8,425</w:t>
            </w:r>
          </w:p>
        </w:tc>
        <w:tc>
          <w:tcPr>
            <w:tcW w:w="2339" w:type="dxa"/>
            <w:tcBorders>
              <w:top w:val="single" w:sz="4" w:space="0" w:color="auto"/>
            </w:tcBorders>
            <w:shd w:val="clear" w:color="auto" w:fill="auto"/>
            <w:vAlign w:val="center"/>
          </w:tcPr>
          <w:p w14:paraId="020F3C2B" w14:textId="77777777" w:rsidR="00E40E59" w:rsidRPr="00616122" w:rsidRDefault="00E40E59" w:rsidP="005B5F57">
            <w:pPr>
              <w:jc w:val="center"/>
              <w:rPr>
                <w:color w:val="000000"/>
              </w:rPr>
            </w:pPr>
            <w:r>
              <w:rPr>
                <w:color w:val="000000"/>
              </w:rPr>
              <w:t>3,779</w:t>
            </w:r>
          </w:p>
        </w:tc>
      </w:tr>
      <w:tr w:rsidR="00E40E59" w:rsidRPr="00616122" w14:paraId="4C7B0AB5" w14:textId="77777777" w:rsidTr="00210E72">
        <w:tc>
          <w:tcPr>
            <w:tcW w:w="2518" w:type="dxa"/>
            <w:tcBorders>
              <w:top w:val="single" w:sz="4" w:space="0" w:color="auto"/>
            </w:tcBorders>
            <w:shd w:val="clear" w:color="auto" w:fill="auto"/>
            <w:vAlign w:val="center"/>
          </w:tcPr>
          <w:p w14:paraId="699CDF91" w14:textId="77777777" w:rsidR="00E40E59" w:rsidRDefault="00E40E59" w:rsidP="005B5F57">
            <w:pPr>
              <w:rPr>
                <w:color w:val="000000"/>
              </w:rPr>
            </w:pPr>
            <w:r>
              <w:rPr>
                <w:color w:val="000000"/>
              </w:rPr>
              <w:t>Average fees USD</w:t>
            </w:r>
          </w:p>
        </w:tc>
        <w:tc>
          <w:tcPr>
            <w:tcW w:w="2410" w:type="dxa"/>
            <w:gridSpan w:val="2"/>
            <w:tcBorders>
              <w:top w:val="single" w:sz="4" w:space="0" w:color="auto"/>
            </w:tcBorders>
            <w:shd w:val="clear" w:color="auto" w:fill="auto"/>
            <w:vAlign w:val="center"/>
          </w:tcPr>
          <w:p w14:paraId="42399B09" w14:textId="77777777" w:rsidR="00E40E59" w:rsidRPr="00616122" w:rsidRDefault="00E40E59" w:rsidP="005B5F57">
            <w:pPr>
              <w:jc w:val="center"/>
              <w:rPr>
                <w:color w:val="000000"/>
              </w:rPr>
            </w:pPr>
            <w:r>
              <w:rPr>
                <w:color w:val="000000"/>
              </w:rPr>
              <w:t>7,023</w:t>
            </w:r>
          </w:p>
        </w:tc>
        <w:tc>
          <w:tcPr>
            <w:tcW w:w="2410" w:type="dxa"/>
            <w:tcBorders>
              <w:top w:val="single" w:sz="4" w:space="0" w:color="auto"/>
            </w:tcBorders>
            <w:shd w:val="clear" w:color="auto" w:fill="auto"/>
            <w:vAlign w:val="center"/>
          </w:tcPr>
          <w:p w14:paraId="36FD8E8C" w14:textId="77777777" w:rsidR="00E40E59" w:rsidRDefault="00E40E59" w:rsidP="005B5F57">
            <w:pPr>
              <w:jc w:val="center"/>
              <w:rPr>
                <w:color w:val="000000"/>
              </w:rPr>
            </w:pPr>
            <w:r>
              <w:rPr>
                <w:color w:val="000000"/>
              </w:rPr>
              <w:t>14,094</w:t>
            </w:r>
          </w:p>
        </w:tc>
        <w:tc>
          <w:tcPr>
            <w:tcW w:w="2339" w:type="dxa"/>
            <w:tcBorders>
              <w:top w:val="single" w:sz="4" w:space="0" w:color="auto"/>
            </w:tcBorders>
            <w:shd w:val="clear" w:color="auto" w:fill="auto"/>
            <w:vAlign w:val="center"/>
          </w:tcPr>
          <w:p w14:paraId="38526860" w14:textId="77777777" w:rsidR="00E40E59" w:rsidRPr="00616122" w:rsidRDefault="00E40E59" w:rsidP="005B5F57">
            <w:pPr>
              <w:jc w:val="center"/>
              <w:rPr>
                <w:color w:val="000000"/>
              </w:rPr>
            </w:pPr>
            <w:r>
              <w:rPr>
                <w:color w:val="000000"/>
              </w:rPr>
              <w:t>6,321</w:t>
            </w:r>
          </w:p>
        </w:tc>
      </w:tr>
      <w:tr w:rsidR="00E40E59" w:rsidRPr="00616122" w14:paraId="4E0C9F03" w14:textId="77777777" w:rsidTr="00210E72">
        <w:tc>
          <w:tcPr>
            <w:tcW w:w="2518" w:type="dxa"/>
            <w:shd w:val="clear" w:color="auto" w:fill="auto"/>
            <w:vAlign w:val="center"/>
          </w:tcPr>
          <w:p w14:paraId="2756A7CF" w14:textId="77777777" w:rsidR="00E40E59" w:rsidRPr="00616122" w:rsidRDefault="00E40E59" w:rsidP="005B5F57">
            <w:pPr>
              <w:rPr>
                <w:color w:val="000000"/>
              </w:rPr>
            </w:pPr>
            <w:r w:rsidRPr="00616122">
              <w:rPr>
                <w:color w:val="000000"/>
              </w:rPr>
              <w:t>Relations between institutions</w:t>
            </w:r>
          </w:p>
        </w:tc>
        <w:tc>
          <w:tcPr>
            <w:tcW w:w="2410" w:type="dxa"/>
            <w:gridSpan w:val="2"/>
            <w:shd w:val="clear" w:color="auto" w:fill="auto"/>
            <w:vAlign w:val="center"/>
          </w:tcPr>
          <w:p w14:paraId="427072D0" w14:textId="77777777" w:rsidR="00E40E59" w:rsidRPr="00616122" w:rsidRDefault="00E40E59" w:rsidP="005B5F57">
            <w:pPr>
              <w:jc w:val="center"/>
              <w:rPr>
                <w:color w:val="000000"/>
              </w:rPr>
            </w:pPr>
            <w:r w:rsidRPr="00616122">
              <w:rPr>
                <w:color w:val="000000"/>
              </w:rPr>
              <w:t>Regulated competition</w:t>
            </w:r>
          </w:p>
        </w:tc>
        <w:tc>
          <w:tcPr>
            <w:tcW w:w="2410" w:type="dxa"/>
            <w:shd w:val="clear" w:color="auto" w:fill="auto"/>
            <w:vAlign w:val="center"/>
          </w:tcPr>
          <w:p w14:paraId="6EF15B65" w14:textId="77777777" w:rsidR="00E40E59" w:rsidRPr="00616122" w:rsidRDefault="00E40E59" w:rsidP="005B5F57">
            <w:pPr>
              <w:jc w:val="center"/>
              <w:rPr>
                <w:color w:val="000000"/>
              </w:rPr>
            </w:pPr>
            <w:r w:rsidRPr="00616122">
              <w:rPr>
                <w:color w:val="000000"/>
              </w:rPr>
              <w:t>Regulated competition</w:t>
            </w:r>
          </w:p>
        </w:tc>
        <w:tc>
          <w:tcPr>
            <w:tcW w:w="2339" w:type="dxa"/>
            <w:shd w:val="clear" w:color="auto" w:fill="auto"/>
            <w:vAlign w:val="center"/>
          </w:tcPr>
          <w:p w14:paraId="3C4C169F" w14:textId="77777777" w:rsidR="00E40E59" w:rsidRPr="00616122" w:rsidRDefault="00E40E59" w:rsidP="005B5F57">
            <w:pPr>
              <w:jc w:val="center"/>
              <w:rPr>
                <w:color w:val="000000"/>
              </w:rPr>
            </w:pPr>
            <w:r w:rsidRPr="00616122">
              <w:rPr>
                <w:color w:val="000000"/>
              </w:rPr>
              <w:t>Differentiation</w:t>
            </w:r>
          </w:p>
        </w:tc>
      </w:tr>
      <w:tr w:rsidR="00E40E59" w:rsidRPr="00616122" w14:paraId="26AC024B" w14:textId="77777777" w:rsidTr="00210E72">
        <w:tc>
          <w:tcPr>
            <w:tcW w:w="2518" w:type="dxa"/>
            <w:tcBorders>
              <w:bottom w:val="single" w:sz="4" w:space="0" w:color="auto"/>
            </w:tcBorders>
            <w:shd w:val="clear" w:color="auto" w:fill="auto"/>
            <w:vAlign w:val="center"/>
          </w:tcPr>
          <w:p w14:paraId="553D1A58" w14:textId="77777777" w:rsidR="00E40E59" w:rsidRPr="00616122" w:rsidRDefault="00E40E59" w:rsidP="005B5F57">
            <w:pPr>
              <w:rPr>
                <w:color w:val="000000"/>
              </w:rPr>
            </w:pPr>
            <w:r w:rsidRPr="00616122">
              <w:rPr>
                <w:color w:val="000000"/>
              </w:rPr>
              <w:t>Involvement of community colleges</w:t>
            </w:r>
          </w:p>
        </w:tc>
        <w:tc>
          <w:tcPr>
            <w:tcW w:w="2410" w:type="dxa"/>
            <w:gridSpan w:val="2"/>
            <w:tcBorders>
              <w:bottom w:val="single" w:sz="4" w:space="0" w:color="auto"/>
            </w:tcBorders>
            <w:shd w:val="clear" w:color="auto" w:fill="auto"/>
            <w:vAlign w:val="center"/>
          </w:tcPr>
          <w:p w14:paraId="24287D29" w14:textId="77777777" w:rsidR="00E40E59" w:rsidRPr="00616122" w:rsidRDefault="00E40E59" w:rsidP="005B5F57">
            <w:pPr>
              <w:jc w:val="center"/>
              <w:rPr>
                <w:color w:val="000000"/>
              </w:rPr>
            </w:pPr>
            <w:r w:rsidRPr="00616122">
              <w:rPr>
                <w:color w:val="000000"/>
              </w:rPr>
              <w:t>Mostly excluded</w:t>
            </w:r>
          </w:p>
        </w:tc>
        <w:tc>
          <w:tcPr>
            <w:tcW w:w="2410" w:type="dxa"/>
            <w:tcBorders>
              <w:bottom w:val="single" w:sz="4" w:space="0" w:color="auto"/>
            </w:tcBorders>
            <w:shd w:val="clear" w:color="auto" w:fill="auto"/>
            <w:vAlign w:val="center"/>
          </w:tcPr>
          <w:p w14:paraId="4056438B" w14:textId="77777777" w:rsidR="00E40E59" w:rsidRPr="00616122" w:rsidRDefault="00E40E59" w:rsidP="005B5F57">
            <w:pPr>
              <w:jc w:val="center"/>
              <w:rPr>
                <w:color w:val="000000"/>
              </w:rPr>
            </w:pPr>
            <w:r w:rsidRPr="00616122">
              <w:rPr>
                <w:color w:val="000000"/>
              </w:rPr>
              <w:t>Unrealised goal</w:t>
            </w:r>
          </w:p>
        </w:tc>
        <w:tc>
          <w:tcPr>
            <w:tcW w:w="2339" w:type="dxa"/>
            <w:tcBorders>
              <w:bottom w:val="single" w:sz="4" w:space="0" w:color="auto"/>
            </w:tcBorders>
            <w:shd w:val="clear" w:color="auto" w:fill="auto"/>
            <w:vAlign w:val="center"/>
          </w:tcPr>
          <w:p w14:paraId="486A076F" w14:textId="77777777" w:rsidR="00E40E59" w:rsidRPr="00616122" w:rsidRDefault="00E40E59" w:rsidP="005B5F57">
            <w:pPr>
              <w:jc w:val="center"/>
              <w:rPr>
                <w:color w:val="000000"/>
              </w:rPr>
            </w:pPr>
            <w:r w:rsidRPr="00616122">
              <w:rPr>
                <w:color w:val="000000"/>
              </w:rPr>
              <w:t>Planned expansion</w:t>
            </w:r>
          </w:p>
        </w:tc>
      </w:tr>
      <w:tr w:rsidR="00E40E59" w:rsidRPr="00616122" w14:paraId="267671F8" w14:textId="77777777" w:rsidTr="00210E72">
        <w:tc>
          <w:tcPr>
            <w:tcW w:w="2518" w:type="dxa"/>
            <w:tcBorders>
              <w:bottom w:val="single" w:sz="4" w:space="0" w:color="auto"/>
            </w:tcBorders>
            <w:shd w:val="clear" w:color="auto" w:fill="auto"/>
            <w:vAlign w:val="center"/>
          </w:tcPr>
          <w:p w14:paraId="2FE0D056" w14:textId="77777777" w:rsidR="00E40E59" w:rsidRPr="00616122" w:rsidRDefault="00E40E59" w:rsidP="005B5F57">
            <w:pPr>
              <w:rPr>
                <w:color w:val="000000"/>
              </w:rPr>
            </w:pPr>
            <w:r>
              <w:rPr>
                <w:color w:val="000000"/>
              </w:rPr>
              <w:t>Involvement of private institutions</w:t>
            </w:r>
          </w:p>
        </w:tc>
        <w:tc>
          <w:tcPr>
            <w:tcW w:w="2410" w:type="dxa"/>
            <w:gridSpan w:val="2"/>
            <w:tcBorders>
              <w:bottom w:val="single" w:sz="4" w:space="0" w:color="auto"/>
            </w:tcBorders>
            <w:shd w:val="clear" w:color="auto" w:fill="auto"/>
            <w:vAlign w:val="center"/>
          </w:tcPr>
          <w:p w14:paraId="5EA54BF5" w14:textId="77777777" w:rsidR="00E40E59" w:rsidRPr="00616122" w:rsidRDefault="00E40E59" w:rsidP="005B5F57">
            <w:pPr>
              <w:jc w:val="center"/>
              <w:rPr>
                <w:color w:val="000000"/>
              </w:rPr>
            </w:pPr>
            <w:r>
              <w:rPr>
                <w:color w:val="000000"/>
              </w:rPr>
              <w:t>Encouraged</w:t>
            </w:r>
          </w:p>
        </w:tc>
        <w:tc>
          <w:tcPr>
            <w:tcW w:w="2410" w:type="dxa"/>
            <w:tcBorders>
              <w:bottom w:val="single" w:sz="4" w:space="0" w:color="auto"/>
            </w:tcBorders>
            <w:shd w:val="clear" w:color="auto" w:fill="auto"/>
            <w:vAlign w:val="center"/>
          </w:tcPr>
          <w:p w14:paraId="065FD23F" w14:textId="77777777" w:rsidR="00E40E59" w:rsidRPr="00616122" w:rsidRDefault="00E40E59" w:rsidP="005B5F57">
            <w:pPr>
              <w:jc w:val="center"/>
              <w:rPr>
                <w:color w:val="000000"/>
              </w:rPr>
            </w:pPr>
            <w:r>
              <w:rPr>
                <w:color w:val="000000"/>
              </w:rPr>
              <w:t>Encouraged</w:t>
            </w:r>
          </w:p>
        </w:tc>
        <w:tc>
          <w:tcPr>
            <w:tcW w:w="2339" w:type="dxa"/>
            <w:tcBorders>
              <w:bottom w:val="single" w:sz="4" w:space="0" w:color="auto"/>
            </w:tcBorders>
            <w:shd w:val="clear" w:color="auto" w:fill="auto"/>
            <w:vAlign w:val="center"/>
          </w:tcPr>
          <w:p w14:paraId="25115F01" w14:textId="77777777" w:rsidR="00E40E59" w:rsidRPr="00616122" w:rsidRDefault="00E40E59" w:rsidP="005B5F57">
            <w:pPr>
              <w:jc w:val="center"/>
              <w:rPr>
                <w:color w:val="000000"/>
              </w:rPr>
            </w:pPr>
            <w:r>
              <w:rPr>
                <w:color w:val="000000"/>
              </w:rPr>
              <w:t>Marginal</w:t>
            </w:r>
          </w:p>
        </w:tc>
      </w:tr>
      <w:tr w:rsidR="00E40E59" w:rsidRPr="00616122" w14:paraId="56E57FAA" w14:textId="77777777" w:rsidTr="00210E72">
        <w:tc>
          <w:tcPr>
            <w:tcW w:w="2518" w:type="dxa"/>
            <w:shd w:val="clear" w:color="auto" w:fill="auto"/>
            <w:vAlign w:val="center"/>
          </w:tcPr>
          <w:p w14:paraId="28FF114F" w14:textId="77777777" w:rsidR="00E40E59" w:rsidRPr="00616122" w:rsidRDefault="00E40E59" w:rsidP="005B5F57">
            <w:pPr>
              <w:rPr>
                <w:color w:val="000000"/>
              </w:rPr>
            </w:pPr>
            <w:r w:rsidRPr="00616122">
              <w:rPr>
                <w:color w:val="000000"/>
              </w:rPr>
              <w:t>P</w:t>
            </w:r>
            <w:r w:rsidRPr="00616122">
              <w:rPr>
                <w:color w:val="222222"/>
              </w:rPr>
              <w:t>articipation of under represented groups</w:t>
            </w:r>
          </w:p>
        </w:tc>
        <w:tc>
          <w:tcPr>
            <w:tcW w:w="2410" w:type="dxa"/>
            <w:gridSpan w:val="2"/>
            <w:shd w:val="clear" w:color="auto" w:fill="auto"/>
            <w:vAlign w:val="center"/>
          </w:tcPr>
          <w:p w14:paraId="5C47D1D9" w14:textId="77777777" w:rsidR="00E40E59" w:rsidRPr="00616122" w:rsidRDefault="00E40E59" w:rsidP="005B5F57">
            <w:pPr>
              <w:jc w:val="center"/>
              <w:rPr>
                <w:color w:val="000000"/>
              </w:rPr>
            </w:pPr>
            <w:r w:rsidRPr="00616122">
              <w:rPr>
                <w:color w:val="000000"/>
              </w:rPr>
              <w:t>Small increase</w:t>
            </w:r>
          </w:p>
        </w:tc>
        <w:tc>
          <w:tcPr>
            <w:tcW w:w="2410" w:type="dxa"/>
            <w:shd w:val="clear" w:color="auto" w:fill="auto"/>
            <w:vAlign w:val="center"/>
          </w:tcPr>
          <w:p w14:paraId="4A4A5CFB" w14:textId="77777777" w:rsidR="00E40E59" w:rsidRPr="00616122" w:rsidRDefault="00E40E59" w:rsidP="005B5F57">
            <w:pPr>
              <w:jc w:val="center"/>
              <w:rPr>
                <w:color w:val="000000"/>
              </w:rPr>
            </w:pPr>
            <w:r w:rsidRPr="00616122">
              <w:rPr>
                <w:color w:val="000000"/>
              </w:rPr>
              <w:t>No change</w:t>
            </w:r>
          </w:p>
        </w:tc>
        <w:tc>
          <w:tcPr>
            <w:tcW w:w="2339" w:type="dxa"/>
            <w:shd w:val="clear" w:color="auto" w:fill="auto"/>
            <w:vAlign w:val="center"/>
          </w:tcPr>
          <w:p w14:paraId="21DDD949" w14:textId="77777777" w:rsidR="00E40E59" w:rsidRPr="00616122" w:rsidRDefault="00E40E59" w:rsidP="005B5F57">
            <w:pPr>
              <w:jc w:val="center"/>
              <w:rPr>
                <w:color w:val="000000"/>
              </w:rPr>
            </w:pPr>
            <w:r w:rsidRPr="00616122">
              <w:rPr>
                <w:color w:val="000000"/>
              </w:rPr>
              <w:t>No change</w:t>
            </w:r>
          </w:p>
        </w:tc>
      </w:tr>
      <w:tr w:rsidR="00E40E59" w:rsidRPr="00616122" w14:paraId="7C877FC0" w14:textId="77777777" w:rsidTr="00210E72">
        <w:tc>
          <w:tcPr>
            <w:tcW w:w="2518" w:type="dxa"/>
            <w:tcBorders>
              <w:bottom w:val="single" w:sz="12" w:space="0" w:color="auto"/>
            </w:tcBorders>
            <w:shd w:val="clear" w:color="auto" w:fill="auto"/>
            <w:vAlign w:val="center"/>
          </w:tcPr>
          <w:p w14:paraId="3D5F74CD" w14:textId="77777777" w:rsidR="00E40E59" w:rsidRPr="00616122" w:rsidRDefault="00E40E59" w:rsidP="005B5F57">
            <w:pPr>
              <w:rPr>
                <w:color w:val="000000"/>
              </w:rPr>
            </w:pPr>
            <w:r w:rsidRPr="00616122">
              <w:rPr>
                <w:color w:val="000000"/>
              </w:rPr>
              <w:t>Outcome</w:t>
            </w:r>
          </w:p>
        </w:tc>
        <w:tc>
          <w:tcPr>
            <w:tcW w:w="2410" w:type="dxa"/>
            <w:gridSpan w:val="2"/>
            <w:tcBorders>
              <w:bottom w:val="single" w:sz="12" w:space="0" w:color="auto"/>
            </w:tcBorders>
            <w:shd w:val="clear" w:color="auto" w:fill="auto"/>
            <w:vAlign w:val="center"/>
          </w:tcPr>
          <w:p w14:paraId="1210A05C" w14:textId="77777777" w:rsidR="00E40E59" w:rsidRPr="00616122" w:rsidRDefault="00E40E59" w:rsidP="005B5F57">
            <w:pPr>
              <w:jc w:val="center"/>
              <w:rPr>
                <w:color w:val="000000"/>
              </w:rPr>
            </w:pPr>
            <w:r>
              <w:t>Competitive restructuring</w:t>
            </w:r>
          </w:p>
        </w:tc>
        <w:tc>
          <w:tcPr>
            <w:tcW w:w="2410" w:type="dxa"/>
            <w:tcBorders>
              <w:bottom w:val="single" w:sz="12" w:space="0" w:color="auto"/>
            </w:tcBorders>
            <w:shd w:val="clear" w:color="auto" w:fill="auto"/>
            <w:vAlign w:val="center"/>
          </w:tcPr>
          <w:p w14:paraId="22E4B2A1" w14:textId="77777777" w:rsidR="00E40E59" w:rsidRPr="00616122" w:rsidRDefault="00E40E59" w:rsidP="005B5F57">
            <w:pPr>
              <w:jc w:val="center"/>
              <w:rPr>
                <w:color w:val="000000"/>
              </w:rPr>
            </w:pPr>
            <w:r>
              <w:t>Adaptive competition</w:t>
            </w:r>
          </w:p>
        </w:tc>
        <w:tc>
          <w:tcPr>
            <w:tcW w:w="2339" w:type="dxa"/>
            <w:tcBorders>
              <w:bottom w:val="single" w:sz="12" w:space="0" w:color="auto"/>
            </w:tcBorders>
            <w:shd w:val="clear" w:color="auto" w:fill="auto"/>
            <w:vAlign w:val="center"/>
          </w:tcPr>
          <w:p w14:paraId="3AA58FB9" w14:textId="77777777" w:rsidR="00E40E59" w:rsidRPr="00616122" w:rsidRDefault="00E40E59" w:rsidP="005B5F57">
            <w:pPr>
              <w:jc w:val="center"/>
              <w:rPr>
                <w:color w:val="000000"/>
              </w:rPr>
            </w:pPr>
            <w:r>
              <w:t>Accommodating change</w:t>
            </w:r>
          </w:p>
        </w:tc>
      </w:tr>
    </w:tbl>
    <w:p w14:paraId="4A5309C7" w14:textId="77777777" w:rsidR="00E40E59" w:rsidRDefault="00E40E59" w:rsidP="005E1E46">
      <w:pPr>
        <w:shd w:val="clear" w:color="auto" w:fill="FFFFFF"/>
        <w:rPr>
          <w:color w:val="000000"/>
        </w:rPr>
      </w:pPr>
    </w:p>
    <w:p w14:paraId="74F5AAB1" w14:textId="50352110" w:rsidR="00486476" w:rsidRPr="00486476" w:rsidRDefault="00486476" w:rsidP="00216CAC">
      <w:pPr>
        <w:shd w:val="clear" w:color="auto" w:fill="FFFFFF"/>
        <w:rPr>
          <w:color w:val="000000" w:themeColor="text1"/>
        </w:rPr>
      </w:pPr>
      <w:r>
        <w:rPr>
          <w:color w:val="000000"/>
        </w:rPr>
        <w:t xml:space="preserve">While the Ontario Government seeks to achieve its goals by planning the governments of England and Australia seek to meet their goals by constructing a market. However, rather than considering </w:t>
      </w:r>
      <w:r w:rsidR="00787AED">
        <w:rPr>
          <w:color w:val="000000"/>
        </w:rPr>
        <w:t>government planning</w:t>
      </w:r>
      <w:r w:rsidR="00216CAC">
        <w:rPr>
          <w:color w:val="000000"/>
        </w:rPr>
        <w:t xml:space="preserve"> (‘regulation’) </w:t>
      </w:r>
      <w:r w:rsidR="00787AED">
        <w:rPr>
          <w:color w:val="000000"/>
        </w:rPr>
        <w:t xml:space="preserve">and ‘free’ markets </w:t>
      </w:r>
      <w:r w:rsidR="00216CAC">
        <w:rPr>
          <w:color w:val="000000"/>
        </w:rPr>
        <w:t>(‘deregulation’) to be opposites (</w:t>
      </w:r>
      <w:r w:rsidR="00216CAC" w:rsidRPr="00B66229">
        <w:t>Birnbaum</w:t>
      </w:r>
      <w:r w:rsidR="00216CAC">
        <w:t>, 1983:</w:t>
      </w:r>
      <w:r w:rsidR="00216CAC" w:rsidRPr="00B66229">
        <w:t xml:space="preserve"> 149-182)</w:t>
      </w:r>
      <w:r w:rsidR="00216CAC">
        <w:t xml:space="preserve"> they are better understood as different factors shaping institutions’ and systems’ development. </w:t>
      </w:r>
      <w:r w:rsidRPr="00486476">
        <w:rPr>
          <w:color w:val="000000" w:themeColor="text1"/>
        </w:rPr>
        <w:t>Fairweather (2000) observes –</w:t>
      </w:r>
    </w:p>
    <w:p w14:paraId="0FA23C98" w14:textId="77777777" w:rsidR="00486476" w:rsidRPr="00486476" w:rsidRDefault="00486476" w:rsidP="00486476">
      <w:pPr>
        <w:rPr>
          <w:color w:val="000000" w:themeColor="text1"/>
        </w:rPr>
      </w:pPr>
    </w:p>
    <w:p w14:paraId="5DFB4319" w14:textId="77777777" w:rsidR="00486476" w:rsidRPr="00486476" w:rsidRDefault="00486476" w:rsidP="00486476">
      <w:pPr>
        <w:ind w:left="851" w:right="1047"/>
        <w:rPr>
          <w:color w:val="000000" w:themeColor="text1"/>
        </w:rPr>
      </w:pPr>
      <w:r w:rsidRPr="00486476">
        <w:rPr>
          <w:color w:val="000000" w:themeColor="text1"/>
        </w:rPr>
        <w:t>From an American perspective, postulating markets and government policies as alternative, distinguishable approaches to achieve academic ‘diversity’ (a phrase wrought with potential for misunderstanding) where one force tends to result in greater diversification than the other presents a false dichotomy. Instead, the development and evolution of approximately 3500 traditional 2- and 4-year colleges and universities along with a growing number of accredited industry-based institutions and more than 5000 proprietary organizations offering some form of post-secondary education is best understood as a complex interaction of various forms of markets, governmental policies, disciplinary associations, and institutional actors.</w:t>
      </w:r>
    </w:p>
    <w:p w14:paraId="1D817884" w14:textId="77777777" w:rsidR="00486476" w:rsidRDefault="00486476" w:rsidP="00486476">
      <w:pPr>
        <w:ind w:left="851" w:right="1047"/>
        <w:jc w:val="right"/>
        <w:rPr>
          <w:color w:val="000000" w:themeColor="text1"/>
        </w:rPr>
      </w:pPr>
      <w:r w:rsidRPr="00486476">
        <w:rPr>
          <w:color w:val="000000" w:themeColor="text1"/>
        </w:rPr>
        <w:t xml:space="preserve"> </w:t>
      </w:r>
    </w:p>
    <w:p w14:paraId="0B49F28C" w14:textId="64036A9E" w:rsidR="00486476" w:rsidRPr="00486476" w:rsidRDefault="00486476" w:rsidP="00486476">
      <w:pPr>
        <w:ind w:left="851" w:right="1047"/>
        <w:jc w:val="right"/>
        <w:rPr>
          <w:color w:val="000000" w:themeColor="text1"/>
        </w:rPr>
      </w:pPr>
      <w:r>
        <w:rPr>
          <w:color w:val="000000" w:themeColor="text1"/>
        </w:rPr>
        <w:t>(Fairweather, 2000:</w:t>
      </w:r>
      <w:r w:rsidRPr="00486476">
        <w:rPr>
          <w:color w:val="000000" w:themeColor="text1"/>
        </w:rPr>
        <w:t xml:space="preserve"> 79- 80, references omitted)</w:t>
      </w:r>
    </w:p>
    <w:p w14:paraId="2EEA9DE2" w14:textId="77777777" w:rsidR="00486476" w:rsidRPr="00486476" w:rsidRDefault="00486476" w:rsidP="00486476">
      <w:pPr>
        <w:ind w:left="851" w:right="1047"/>
        <w:rPr>
          <w:color w:val="000000" w:themeColor="text1"/>
        </w:rPr>
      </w:pPr>
    </w:p>
    <w:p w14:paraId="79B7A357" w14:textId="77777777" w:rsidR="00486476" w:rsidRPr="00486476" w:rsidRDefault="00486476" w:rsidP="00486476">
      <w:pPr>
        <w:ind w:left="851" w:right="1047"/>
        <w:rPr>
          <w:color w:val="000000" w:themeColor="text1"/>
        </w:rPr>
      </w:pPr>
      <w:r w:rsidRPr="00486476">
        <w:rPr>
          <w:color w:val="000000" w:themeColor="text1"/>
        </w:rPr>
        <w:t>Neither markets nor government policy alone is sufficient to explain the substantial between- and within-institutional variation in American higher education. Instead diversification (or lack of it) stems from a complex interaction of market forces and government interventions as ameliorated by the pursuit of prestige and status. The differential effects of markets and government policies can only be understood by delineating the specific system level or levels of interest and tracing the differential effects of markets and government policies on that level or levels.</w:t>
      </w:r>
    </w:p>
    <w:p w14:paraId="12B6945D" w14:textId="38E8E362" w:rsidR="00486476" w:rsidRPr="00486476" w:rsidRDefault="005D41AC" w:rsidP="00486476">
      <w:pPr>
        <w:ind w:left="851" w:right="1047"/>
        <w:jc w:val="right"/>
        <w:rPr>
          <w:color w:val="000000" w:themeColor="text1"/>
        </w:rPr>
      </w:pPr>
      <w:r>
        <w:rPr>
          <w:color w:val="000000" w:themeColor="text1"/>
        </w:rPr>
        <w:t xml:space="preserve"> </w:t>
      </w:r>
      <w:r w:rsidR="00486476">
        <w:rPr>
          <w:color w:val="000000" w:themeColor="text1"/>
        </w:rPr>
        <w:t>(Fairweather, 2000:</w:t>
      </w:r>
      <w:r w:rsidR="00486476" w:rsidRPr="00486476">
        <w:rPr>
          <w:color w:val="000000" w:themeColor="text1"/>
        </w:rPr>
        <w:t xml:space="preserve"> 96-97)</w:t>
      </w:r>
    </w:p>
    <w:p w14:paraId="01666817" w14:textId="77777777" w:rsidR="00486476" w:rsidRPr="00486476" w:rsidRDefault="00486476" w:rsidP="00486476">
      <w:pPr>
        <w:ind w:firstLine="120"/>
        <w:rPr>
          <w:color w:val="000000" w:themeColor="text1"/>
        </w:rPr>
      </w:pPr>
    </w:p>
    <w:p w14:paraId="3B66E1EA" w14:textId="4FB6215B" w:rsidR="00486476" w:rsidRPr="00486476" w:rsidRDefault="00486476" w:rsidP="00662050">
      <w:pPr>
        <w:rPr>
          <w:color w:val="000000" w:themeColor="text1"/>
        </w:rPr>
      </w:pPr>
      <w:r w:rsidRPr="00486476">
        <w:rPr>
          <w:color w:val="000000" w:themeColor="text1"/>
        </w:rPr>
        <w:t>Te</w:t>
      </w:r>
      <w:r w:rsidR="00662050">
        <w:rPr>
          <w:color w:val="000000" w:themeColor="text1"/>
        </w:rPr>
        <w:t xml:space="preserve">ixeira and colleagues (2012: </w:t>
      </w:r>
      <w:r w:rsidRPr="00486476">
        <w:rPr>
          <w:color w:val="000000" w:themeColor="text1"/>
        </w:rPr>
        <w:t>350) similarly conclude that ‘although competition is a powerful force in stimulating institutional behaviour, its effects may be modulated by other factors such as student demand and regulatory effectiveness’ and that therefore there is a hybrid relation between government and market forces in Portuguese higher</w:t>
      </w:r>
      <w:r w:rsidR="008335FE">
        <w:rPr>
          <w:color w:val="000000" w:themeColor="text1"/>
        </w:rPr>
        <w:t xml:space="preserve"> education. Jongbloed (2003:</w:t>
      </w:r>
      <w:r w:rsidRPr="00486476">
        <w:rPr>
          <w:color w:val="000000" w:themeColor="text1"/>
        </w:rPr>
        <w:t xml:space="preserve"> 131-4) found that Dutch higher education is explained not by a shift between the forces of Burton Clark’s (1983) ‘triangle of coordination’ of state authority, the market and the academic oligarchy, but by their dynamic interaction. </w:t>
      </w:r>
      <w:r w:rsidR="008335FE" w:rsidRPr="00486476">
        <w:rPr>
          <w:color w:val="000000" w:themeColor="text1"/>
        </w:rPr>
        <w:t xml:space="preserve">A dichotomy between market forces and government regulation seems particularly inappropriate inasmuch as students’ market choices are financed by grants and loans determined or even regulated by government policy. </w:t>
      </w:r>
      <w:r w:rsidR="008335FE">
        <w:rPr>
          <w:color w:val="000000" w:themeColor="text1"/>
        </w:rPr>
        <w:t xml:space="preserve">Rather, governments’ explicit planning and construction of markets are complementary mechanisms for achieving government goals which are chosen partly for their efficacy and partly by ideological </w:t>
      </w:r>
      <w:r w:rsidR="00C544A7">
        <w:rPr>
          <w:color w:val="000000" w:themeColor="text1"/>
        </w:rPr>
        <w:t>preference (Moodie, accepted).</w:t>
      </w:r>
    </w:p>
    <w:p w14:paraId="14EB819D" w14:textId="77777777" w:rsidR="00486476" w:rsidRPr="00486476" w:rsidRDefault="00486476" w:rsidP="005E1E46">
      <w:pPr>
        <w:shd w:val="clear" w:color="auto" w:fill="FFFFFF"/>
        <w:rPr>
          <w:color w:val="000000" w:themeColor="text1"/>
        </w:rPr>
      </w:pPr>
    </w:p>
    <w:p w14:paraId="0FCE40AC" w14:textId="4E3AD1E1" w:rsidR="00AE4793" w:rsidRDefault="00AE4793" w:rsidP="00AE4793">
      <w:r>
        <w:rPr>
          <w:color w:val="000000" w:themeColor="text1"/>
        </w:rPr>
        <w:t xml:space="preserve">This helps explain apparent inconsistencies in the governments’ approaches. </w:t>
      </w:r>
      <w:r>
        <w:t>Ontario caps enrolments but ostensibly not fees, while E</w:t>
      </w:r>
      <w:r w:rsidR="00364DE8">
        <w:t>ngland and Australia</w:t>
      </w:r>
      <w:r>
        <w:t xml:space="preserve"> cap fees but not enrolments. It also explains the jurisdictions’ different approaches </w:t>
      </w:r>
      <w:r w:rsidR="00364DE8">
        <w:t xml:space="preserve">to student loans. </w:t>
      </w:r>
      <w:r w:rsidR="00B408C1">
        <w:t xml:space="preserve">Ontario’s loans mimic a market but with many interventions to compensate for market failures. In </w:t>
      </w:r>
      <w:r w:rsidR="00364DE8">
        <w:t xml:space="preserve">Ontario, like much else of Canada and the US, </w:t>
      </w:r>
      <w:r w:rsidR="00B408C1">
        <w:t xml:space="preserve">students have access to federal and provincial loans that are at least partly means tested. Most loans are like mortgages in that a real rate of interest is charged, tho this may be discounted, and former students make their own repayment arrangements. Fees are received by a government agency or often by private financial institutions in the US but collected by private agencies. </w:t>
      </w:r>
      <w:r w:rsidR="00402AB8">
        <w:t>In contrast, in England and Australia loans are much more like income tax levies with adaptations to make them more market like. Loans are universal: they are available to all qualified students enrolled in all approved institutions without means test or other qualification. Their rep</w:t>
      </w:r>
      <w:r w:rsidR="00961FD8">
        <w:t>ayment is thru</w:t>
      </w:r>
      <w:r w:rsidR="00402AB8">
        <w:t xml:space="preserve"> the income taxation system and is contingent up</w:t>
      </w:r>
      <w:r w:rsidR="00961FD8">
        <w:t>on (former) students’ income</w:t>
      </w:r>
      <w:r w:rsidR="00402AB8">
        <w:t xml:space="preserve">. Interest </w:t>
      </w:r>
      <w:r w:rsidR="00961FD8">
        <w:t>and repayment rates are</w:t>
      </w:r>
      <w:r w:rsidR="00402AB8">
        <w:t xml:space="preserve"> set not in relation to market rates but </w:t>
      </w:r>
      <w:r w:rsidR="00961FD8">
        <w:t>by government policy to make them progressive.</w:t>
      </w:r>
    </w:p>
    <w:p w14:paraId="29D8241A" w14:textId="3DF33FE3" w:rsidR="00486476" w:rsidRPr="00486476" w:rsidRDefault="00486476" w:rsidP="005E1E46">
      <w:pPr>
        <w:shd w:val="clear" w:color="auto" w:fill="FFFFFF"/>
        <w:rPr>
          <w:color w:val="000000" w:themeColor="text1"/>
        </w:rPr>
      </w:pPr>
    </w:p>
    <w:p w14:paraId="2B763832" w14:textId="77777777" w:rsidR="00667E57" w:rsidRDefault="005B5F57" w:rsidP="005E1E46">
      <w:pPr>
        <w:shd w:val="clear" w:color="auto" w:fill="FFFFFF"/>
        <w:rPr>
          <w:color w:val="000000"/>
        </w:rPr>
      </w:pPr>
      <w:r>
        <w:rPr>
          <w:color w:val="000000"/>
        </w:rPr>
        <w:t xml:space="preserve">It is not yet clear that the jurisdictions’ different approaches to universal or open higher education are generating markedly different </w:t>
      </w:r>
      <w:r w:rsidR="00860AC0">
        <w:rPr>
          <w:color w:val="000000"/>
        </w:rPr>
        <w:t>outcomes</w:t>
      </w:r>
      <w:r>
        <w:rPr>
          <w:color w:val="000000"/>
        </w:rPr>
        <w:t xml:space="preserve">: all 3 are increasing tertiary education attainment strongly and despite their rather different fees and loans access for under represented groups in each jurisdiction hasn’t changed much over the last decade. One possible difference may be emerging in institutions’ positioning, restructuring and differentiation. The governments of all 3 jurisdictions are seeking to differentiate their </w:t>
      </w:r>
      <w:r w:rsidR="00FE2E3E">
        <w:rPr>
          <w:color w:val="000000"/>
        </w:rPr>
        <w:t xml:space="preserve">universities, all 3 with limited success so far. </w:t>
      </w:r>
      <w:r w:rsidR="009A2025">
        <w:rPr>
          <w:color w:val="000000"/>
        </w:rPr>
        <w:t xml:space="preserve">Yet there are signs that Australia may be entering a period of substantial institutional restructuring. Since 2009 there have been 2 institutional amalgamations, 2 universities are establishing ‘polytechnic networks’ to franchise their degrees at collaborating colleges, at least 1 is trying to go fully on line and at least 2 others have established separate online units (Norton, 2013: 19; </w:t>
      </w:r>
      <w:r w:rsidR="009A2025">
        <w:t xml:space="preserve">Australian Catholic University, </w:t>
      </w:r>
      <w:r w:rsidR="009A2025" w:rsidRPr="00C22F4A">
        <w:t>2013</w:t>
      </w:r>
      <w:r w:rsidR="009A2025">
        <w:t>: 18-22</w:t>
      </w:r>
      <w:r w:rsidR="009A2025" w:rsidRPr="00C22F4A">
        <w:t>)</w:t>
      </w:r>
      <w:r w:rsidR="009A2025">
        <w:rPr>
          <w:color w:val="000000"/>
        </w:rPr>
        <w:t xml:space="preserve">. </w:t>
      </w:r>
    </w:p>
    <w:p w14:paraId="22358FDF" w14:textId="77777777" w:rsidR="00667E57" w:rsidRDefault="00667E57" w:rsidP="005E1E46">
      <w:pPr>
        <w:shd w:val="clear" w:color="auto" w:fill="FFFFFF"/>
        <w:rPr>
          <w:color w:val="000000"/>
        </w:rPr>
      </w:pPr>
    </w:p>
    <w:p w14:paraId="24FBB9CB" w14:textId="3DAA3B29" w:rsidR="005B5F57" w:rsidRPr="009A2025" w:rsidRDefault="00667E57" w:rsidP="005E1E46">
      <w:pPr>
        <w:shd w:val="clear" w:color="auto" w:fill="FFFFFF"/>
      </w:pPr>
      <w:r>
        <w:rPr>
          <w:color w:val="000000"/>
        </w:rPr>
        <w:t>Australia’s changes</w:t>
      </w:r>
      <w:r w:rsidR="009A2025">
        <w:rPr>
          <w:color w:val="000000"/>
        </w:rPr>
        <w:t xml:space="preserve"> may be described as</w:t>
      </w:r>
      <w:r w:rsidR="009A2025">
        <w:t xml:space="preserve"> competitive restructuring, that is, a restructuring of several institutions and a radical transformation of some institutions’ teaching mode as a response mainly to the competition structured by government, but also in response to technological and other broader changes. This was set in train by a centre-left government in Australia, altho it is the change sought but not yet achieved by the UK’s centre-right government. Instead, England is achieving adaptive competition – institutions adapting their strategies but probably not their missions and certainly not their structures in response to the competition structured by government. This may change once enrolment caps are removed in 2015-16.  Ontario is achieving accommodating change: institutions accommodating government goals in response to the policy and funding changes introduced by government. Each of these different approaches may in their different ways </w:t>
      </w:r>
      <w:r w:rsidR="009A2025">
        <w:rPr>
          <w:color w:val="000000"/>
        </w:rPr>
        <w:t>change</w:t>
      </w:r>
      <w:r w:rsidR="00F149EE">
        <w:rPr>
          <w:color w:val="000000"/>
        </w:rPr>
        <w:t xml:space="preserve"> higher education much as Trow anticipated for universal or open a</w:t>
      </w:r>
      <w:r w:rsidR="009A2025">
        <w:rPr>
          <w:color w:val="000000"/>
        </w:rPr>
        <w:t>ccess systems</w:t>
      </w:r>
      <w:r w:rsidR="00F149EE">
        <w:rPr>
          <w:color w:val="000000"/>
        </w:rPr>
        <w:t>.</w:t>
      </w:r>
    </w:p>
    <w:p w14:paraId="681366A7" w14:textId="77777777" w:rsidR="005B5F57" w:rsidRDefault="005B5F57" w:rsidP="005E1E46">
      <w:pPr>
        <w:shd w:val="clear" w:color="auto" w:fill="FFFFFF"/>
        <w:rPr>
          <w:color w:val="000000"/>
        </w:rPr>
      </w:pPr>
    </w:p>
    <w:p w14:paraId="42B2AA40" w14:textId="77777777" w:rsidR="005D41AC" w:rsidRDefault="005D41AC" w:rsidP="00D47147"/>
    <w:p w14:paraId="5E058CC4" w14:textId="77777777" w:rsidR="009D6AD8" w:rsidRDefault="009D6AD8" w:rsidP="00D47147">
      <w:r>
        <w:t>Gavin Moodie</w:t>
      </w:r>
    </w:p>
    <w:p w14:paraId="50D891C4" w14:textId="77777777" w:rsidR="00AB605B" w:rsidRDefault="00AB605B" w:rsidP="00D47147">
      <w:r>
        <w:t>Honorary professor of education</w:t>
      </w:r>
    </w:p>
    <w:p w14:paraId="4A1D23BA" w14:textId="5967FC2B" w:rsidR="00AB605B" w:rsidRDefault="00AB605B" w:rsidP="00D47147">
      <w:r>
        <w:t>RMIT</w:t>
      </w:r>
      <w:r w:rsidR="005D41AC">
        <w:t>, Australia</w:t>
      </w:r>
    </w:p>
    <w:p w14:paraId="6B6DEF89" w14:textId="5AF07EDF" w:rsidR="009D6AD8" w:rsidRPr="009D6AD8" w:rsidRDefault="009D6AD8" w:rsidP="00D47147">
      <w:r w:rsidRPr="009D6AD8">
        <w:t>22 Sussex Avenue</w:t>
      </w:r>
    </w:p>
    <w:p w14:paraId="738B3D26" w14:textId="77777777" w:rsidR="009D6AD8" w:rsidRPr="009D6AD8" w:rsidRDefault="009D6AD8" w:rsidP="00D47147">
      <w:r w:rsidRPr="009D6AD8">
        <w:t>Toronto, ON M5S 1J5</w:t>
      </w:r>
    </w:p>
    <w:p w14:paraId="3FB5C7AD" w14:textId="77777777" w:rsidR="009D6AD8" w:rsidRPr="009D6AD8" w:rsidRDefault="009D6AD8" w:rsidP="00D47147">
      <w:r w:rsidRPr="009D6AD8">
        <w:t>Canada</w:t>
      </w:r>
    </w:p>
    <w:p w14:paraId="6BD82385" w14:textId="7712C30B" w:rsidR="009D6AD8" w:rsidRPr="009D6AD8" w:rsidRDefault="009D6AD8" w:rsidP="00D47147">
      <w:r w:rsidRPr="009D6AD8">
        <w:t>gavin.moodie@telstra</w:t>
      </w:r>
      <w:r>
        <w:t>.com</w:t>
      </w:r>
    </w:p>
    <w:p w14:paraId="5DD7A837" w14:textId="77777777" w:rsidR="009D6AD8" w:rsidRPr="009D6AD8" w:rsidRDefault="009D6AD8" w:rsidP="00D47147">
      <w:hyperlink r:id="rId16" w:tgtFrame="_blank" w:history="1">
        <w:r w:rsidRPr="009D6AD8">
          <w:t>http://rmit.academia.edu/GavinMoodie</w:t>
        </w:r>
      </w:hyperlink>
      <w:r w:rsidRPr="009D6AD8">
        <w:t> </w:t>
      </w:r>
    </w:p>
    <w:p w14:paraId="4911EBA5" w14:textId="77777777" w:rsidR="00F1414F" w:rsidRDefault="00F1414F" w:rsidP="00D47147"/>
    <w:p w14:paraId="2F7BF399" w14:textId="77777777" w:rsidR="00B83978" w:rsidRDefault="00B83978" w:rsidP="00D47147"/>
    <w:p w14:paraId="4F89ED16" w14:textId="29BB6A2C" w:rsidR="00F1414F" w:rsidRPr="00F1414F" w:rsidRDefault="00F1414F" w:rsidP="00D47147">
      <w:pPr>
        <w:pStyle w:val="Heading1"/>
        <w:spacing w:before="0" w:after="0"/>
        <w:rPr>
          <w:rFonts w:ascii="Times New Roman" w:hAnsi="Times New Roman" w:cs="Times New Roman"/>
          <w:sz w:val="24"/>
          <w:szCs w:val="24"/>
        </w:rPr>
      </w:pPr>
      <w:r>
        <w:rPr>
          <w:rFonts w:ascii="Times New Roman" w:hAnsi="Times New Roman" w:cs="Times New Roman"/>
          <w:sz w:val="24"/>
          <w:szCs w:val="24"/>
        </w:rPr>
        <w:t>References</w:t>
      </w:r>
    </w:p>
    <w:p w14:paraId="43D25188" w14:textId="77777777" w:rsidR="007C536B" w:rsidRPr="00C22F4A" w:rsidRDefault="007C536B" w:rsidP="007C536B"/>
    <w:p w14:paraId="768EB355" w14:textId="77777777" w:rsidR="007C536B" w:rsidRPr="00C22F4A" w:rsidRDefault="007C536B" w:rsidP="007C536B">
      <w:r w:rsidRPr="00C22F4A">
        <w:t xml:space="preserve">Australian Catholic University (2013) Submission to the review of the demand driven system, </w:t>
      </w:r>
      <w:r>
        <w:t xml:space="preserve">retrieved 28 January 2014 from </w:t>
      </w:r>
      <w:r w:rsidRPr="00C22F4A">
        <w:t>https://submissions.deewr.gov.au/forms/demand-driven-funding-system/pages/item?SubmissionID=DFS1400080</w:t>
      </w:r>
    </w:p>
    <w:p w14:paraId="0DD4659D" w14:textId="77777777" w:rsidR="00861D42" w:rsidRPr="00861D42" w:rsidRDefault="00861D42" w:rsidP="00861D42">
      <w:pPr>
        <w:pStyle w:val="Default"/>
        <w:rPr>
          <w:rStyle w:val="A3"/>
          <w:rFonts w:ascii="Times New Roman" w:hAnsi="Times New Roman" w:cs="Times New Roman"/>
          <w:b w:val="0"/>
          <w:sz w:val="24"/>
          <w:szCs w:val="24"/>
        </w:rPr>
      </w:pPr>
    </w:p>
    <w:p w14:paraId="284B01C4" w14:textId="77777777" w:rsidR="00861D42" w:rsidRPr="00861D42" w:rsidRDefault="00861D42" w:rsidP="00861D42">
      <w:pPr>
        <w:pStyle w:val="Default"/>
        <w:rPr>
          <w:rStyle w:val="A3"/>
          <w:rFonts w:ascii="Times New Roman" w:hAnsi="Times New Roman" w:cs="Times New Roman"/>
          <w:b w:val="0"/>
          <w:sz w:val="24"/>
          <w:szCs w:val="24"/>
        </w:rPr>
      </w:pPr>
      <w:r w:rsidRPr="00861D42">
        <w:rPr>
          <w:rStyle w:val="A3"/>
          <w:rFonts w:ascii="Times New Roman" w:hAnsi="Times New Roman" w:cs="Times New Roman"/>
          <w:b w:val="0"/>
          <w:sz w:val="24"/>
          <w:szCs w:val="24"/>
        </w:rPr>
        <w:t xml:space="preserve">Australian Taxation Office (2013) </w:t>
      </w:r>
      <w:r w:rsidRPr="00861D42">
        <w:rPr>
          <w:rStyle w:val="A3"/>
          <w:rFonts w:ascii="Times New Roman" w:hAnsi="Times New Roman" w:cs="Times New Roman"/>
          <w:b w:val="0"/>
          <w:bCs w:val="0"/>
          <w:sz w:val="24"/>
          <w:szCs w:val="24"/>
        </w:rPr>
        <w:t xml:space="preserve">HELP repayment thresholds and rates, retrieved 6 March 2014 from </w:t>
      </w:r>
      <w:r w:rsidRPr="00861D42">
        <w:rPr>
          <w:rStyle w:val="A3"/>
          <w:rFonts w:ascii="Times New Roman" w:hAnsi="Times New Roman" w:cs="Times New Roman"/>
          <w:b w:val="0"/>
          <w:sz w:val="24"/>
          <w:szCs w:val="24"/>
        </w:rPr>
        <w:t>http://www.ato.gov.au/rates/help-repayment-thresholds-and-rates/</w:t>
      </w:r>
    </w:p>
    <w:p w14:paraId="10D0497D" w14:textId="77777777" w:rsidR="00216CAC" w:rsidRPr="00604EEA" w:rsidRDefault="00216CAC" w:rsidP="00216CAC"/>
    <w:p w14:paraId="21A00845" w14:textId="3DC689FF" w:rsidR="00216CAC" w:rsidRPr="00604EEA" w:rsidRDefault="00662050" w:rsidP="00216CAC">
      <w:r>
        <w:t>Birnbaum, R</w:t>
      </w:r>
      <w:r w:rsidR="00216CAC" w:rsidRPr="00604EEA">
        <w:t xml:space="preserve"> (1983) </w:t>
      </w:r>
      <w:r w:rsidR="00216CAC" w:rsidRPr="00604EEA">
        <w:rPr>
          <w:i/>
        </w:rPr>
        <w:t>Maintaining diversity in higher education</w:t>
      </w:r>
      <w:r w:rsidR="00216CAC" w:rsidRPr="00604EEA">
        <w:t>. San Francisco: Jossey-Bass.</w:t>
      </w:r>
    </w:p>
    <w:p w14:paraId="6890B25A" w14:textId="77777777" w:rsidR="00F731F2" w:rsidRPr="00F847A4" w:rsidRDefault="00F731F2" w:rsidP="00F731F2">
      <w:pPr>
        <w:rPr>
          <w:lang w:val="en-AU"/>
        </w:rPr>
      </w:pPr>
    </w:p>
    <w:p w14:paraId="19AC52DE" w14:textId="1A970688" w:rsidR="00F731F2" w:rsidRDefault="00F731F2" w:rsidP="00F731F2">
      <w:pPr>
        <w:rPr>
          <w:lang w:val="en-AU"/>
        </w:rPr>
      </w:pPr>
      <w:r>
        <w:rPr>
          <w:color w:val="000000"/>
        </w:rPr>
        <w:t>Brennan, John (2004) The social role of the contemporary university: contradictions, boundaries and c</w:t>
      </w:r>
      <w:r w:rsidRPr="00F847A4">
        <w:rPr>
          <w:color w:val="000000"/>
        </w:rPr>
        <w:t>hange</w:t>
      </w:r>
      <w:r>
        <w:rPr>
          <w:color w:val="000000"/>
        </w:rPr>
        <w:t xml:space="preserve">. In </w:t>
      </w:r>
      <w:r>
        <w:rPr>
          <w:i/>
          <w:iCs/>
          <w:color w:val="000000"/>
        </w:rPr>
        <w:t>Ten years on: changing education in a changing w</w:t>
      </w:r>
      <w:r w:rsidRPr="00F847A4">
        <w:rPr>
          <w:i/>
          <w:iCs/>
          <w:color w:val="000000"/>
        </w:rPr>
        <w:t xml:space="preserve">orld, </w:t>
      </w:r>
      <w:r w:rsidRPr="00F847A4">
        <w:rPr>
          <w:color w:val="000000"/>
        </w:rPr>
        <w:t>Center for Higher Education Research and Information (CHERI). Buckin</w:t>
      </w:r>
      <w:r>
        <w:rPr>
          <w:color w:val="000000"/>
        </w:rPr>
        <w:t>gham: The Open University Press, pages 22-26.</w:t>
      </w:r>
      <w:r>
        <w:rPr>
          <w:lang w:val="en-AU"/>
        </w:rPr>
        <w:t xml:space="preserve"> </w:t>
      </w:r>
      <w:r w:rsidRPr="00F847A4">
        <w:rPr>
          <w:lang w:val="en-AU"/>
        </w:rPr>
        <w:t>Retrieved 9 February 2014 from</w:t>
      </w:r>
      <w:r>
        <w:rPr>
          <w:lang w:val="en-AU"/>
        </w:rPr>
        <w:t xml:space="preserve"> </w:t>
      </w:r>
      <w:hyperlink r:id="rId17" w:history="1">
        <w:r w:rsidRPr="00F731F2">
          <w:rPr>
            <w:lang w:val="en-AU"/>
          </w:rPr>
          <w:t>https://www.open.ac.uk/cheri/documents/ten-years-on.pdf</w:t>
        </w:r>
      </w:hyperlink>
    </w:p>
    <w:p w14:paraId="7DAE927F" w14:textId="77777777" w:rsidR="00B603A1" w:rsidRPr="00B603A1" w:rsidRDefault="00B603A1" w:rsidP="00B603A1">
      <w:pPr>
        <w:pStyle w:val="Default"/>
        <w:rPr>
          <w:rStyle w:val="A3"/>
          <w:rFonts w:ascii="Times New Roman" w:hAnsi="Times New Roman" w:cs="Times New Roman"/>
          <w:b w:val="0"/>
          <w:sz w:val="24"/>
          <w:szCs w:val="24"/>
        </w:rPr>
      </w:pPr>
    </w:p>
    <w:p w14:paraId="2D37193C" w14:textId="77777777" w:rsidR="00B603A1" w:rsidRDefault="00B603A1" w:rsidP="00B603A1">
      <w:r>
        <w:t xml:space="preserve">Brown, </w:t>
      </w:r>
      <w:r w:rsidRPr="004A0D0B">
        <w:t xml:space="preserve">Roger </w:t>
      </w:r>
      <w:r>
        <w:t>with</w:t>
      </w:r>
      <w:r w:rsidRPr="004A0D0B">
        <w:t xml:space="preserve"> Carasso</w:t>
      </w:r>
      <w:r>
        <w:t xml:space="preserve">, Helen (2013) </w:t>
      </w:r>
      <w:r w:rsidRPr="00282BD3">
        <w:rPr>
          <w:i/>
        </w:rPr>
        <w:t>Everything for sale?: the marketisation of UK higher education</w:t>
      </w:r>
      <w:r w:rsidRPr="00282BD3">
        <w:t xml:space="preserve">, </w:t>
      </w:r>
      <w:r>
        <w:t>Routledge</w:t>
      </w:r>
      <w:r w:rsidRPr="004A0D0B">
        <w:t xml:space="preserve"> Abingdon</w:t>
      </w:r>
      <w:r>
        <w:t>.</w:t>
      </w:r>
    </w:p>
    <w:p w14:paraId="4E64AA70" w14:textId="77777777" w:rsidR="00C76F34" w:rsidRPr="00C76F34" w:rsidRDefault="00C76F34" w:rsidP="00C76F34">
      <w:pPr>
        <w:rPr>
          <w:color w:val="000000" w:themeColor="text1"/>
        </w:rPr>
      </w:pPr>
    </w:p>
    <w:p w14:paraId="06EB6295" w14:textId="4BFDD278" w:rsidR="00C76F34" w:rsidRPr="00C76F34" w:rsidRDefault="00C76F34" w:rsidP="00C76F34">
      <w:pPr>
        <w:widowControl w:val="0"/>
        <w:autoSpaceDE w:val="0"/>
        <w:autoSpaceDN w:val="0"/>
        <w:adjustRightInd w:val="0"/>
        <w:rPr>
          <w:color w:val="000000" w:themeColor="text1"/>
          <w:lang w:eastAsia="en-US"/>
        </w:rPr>
      </w:pPr>
      <w:r w:rsidRPr="00C76F34">
        <w:rPr>
          <w:color w:val="000000" w:themeColor="text1"/>
          <w:lang w:eastAsia="en-US"/>
        </w:rPr>
        <w:t xml:space="preserve">Clark, Burton R (1983) </w:t>
      </w:r>
      <w:r w:rsidRPr="00C76F34">
        <w:rPr>
          <w:i/>
          <w:color w:val="000000" w:themeColor="text1"/>
          <w:lang w:eastAsia="en-US"/>
        </w:rPr>
        <w:t>The higher education system: academic organization in cross-national perspective</w:t>
      </w:r>
      <w:r w:rsidRPr="00C76F34">
        <w:rPr>
          <w:color w:val="000000" w:themeColor="text1"/>
          <w:lang w:eastAsia="en-US"/>
        </w:rPr>
        <w:t>. Berkeley, CA: University of California Press.</w:t>
      </w:r>
    </w:p>
    <w:p w14:paraId="1D7DD4FD" w14:textId="77777777" w:rsidR="00A138FC" w:rsidRPr="00C76F34" w:rsidRDefault="00A138FC" w:rsidP="00A138FC">
      <w:pPr>
        <w:rPr>
          <w:color w:val="000000" w:themeColor="text1"/>
        </w:rPr>
      </w:pPr>
    </w:p>
    <w:p w14:paraId="7F60A08F" w14:textId="77777777" w:rsidR="00A138FC" w:rsidRDefault="00A138FC" w:rsidP="00A138FC">
      <w:r w:rsidRPr="003B1030">
        <w:t xml:space="preserve">Commonwealth of Australia (2009) </w:t>
      </w:r>
      <w:r w:rsidRPr="00EB1124">
        <w:rPr>
          <w:i/>
        </w:rPr>
        <w:t>Transforming Australia’s higher education system</w:t>
      </w:r>
      <w:r>
        <w:t xml:space="preserve">, retrieved 12 May 2009 from </w:t>
      </w:r>
      <w:hyperlink r:id="rId18" w:history="1">
        <w:r w:rsidRPr="003B1030">
          <w:t>http://home.deewr.gov.au/Budget/documents/TransformingAusHigherED.pdf</w:t>
        </w:r>
      </w:hyperlink>
    </w:p>
    <w:p w14:paraId="342CB4E8" w14:textId="77777777" w:rsidR="004656A4" w:rsidRDefault="004656A4" w:rsidP="004656A4">
      <w:pPr>
        <w:pStyle w:val="Default"/>
        <w:rPr>
          <w:rStyle w:val="A3"/>
          <w:rFonts w:ascii="Times New Roman" w:hAnsi="Times New Roman" w:cs="Times New Roman"/>
          <w:b w:val="0"/>
          <w:sz w:val="24"/>
          <w:szCs w:val="24"/>
        </w:rPr>
      </w:pPr>
    </w:p>
    <w:p w14:paraId="322502B9" w14:textId="77777777" w:rsidR="004656A4" w:rsidRDefault="004656A4" w:rsidP="004656A4">
      <w:r w:rsidRPr="002B5D8F">
        <w:t xml:space="preserve">Council of Australian Governments (2008) </w:t>
      </w:r>
      <w:hyperlink r:id="rId19" w:history="1">
        <w:r w:rsidRPr="002B5D8F">
          <w:t>Supplementary Information to that contained in the Communiqué</w:t>
        </w:r>
      </w:hyperlink>
      <w:r>
        <w:t xml:space="preserve">, Commonwealth-State financial relations – reform of specific purpose payments, retrieved 8 August 2012 from </w:t>
      </w:r>
      <w:hyperlink r:id="rId20" w:history="1">
        <w:r w:rsidRPr="002B5D8F">
          <w:t>http://www.coag.gov.au/node/292</w:t>
        </w:r>
      </w:hyperlink>
    </w:p>
    <w:p w14:paraId="213A919E" w14:textId="77777777" w:rsidR="00CC3AC9" w:rsidRDefault="00CC3AC9" w:rsidP="00CC3AC9">
      <w:pPr>
        <w:rPr>
          <w:lang w:val="en-AU"/>
        </w:rPr>
      </w:pPr>
    </w:p>
    <w:p w14:paraId="5BAD44F0" w14:textId="77777777" w:rsidR="00CC3AC9" w:rsidRDefault="00CC3AC9" w:rsidP="00CC3AC9">
      <w:pPr>
        <w:rPr>
          <w:lang w:val="en-AU"/>
        </w:rPr>
      </w:pPr>
      <w:r w:rsidRPr="009025EB">
        <w:rPr>
          <w:lang w:val="en-AU"/>
        </w:rPr>
        <w:t>Deller, F</w:t>
      </w:r>
      <w:r>
        <w:rPr>
          <w:lang w:val="en-AU"/>
        </w:rPr>
        <w:t xml:space="preserve">iona and Oldford, </w:t>
      </w:r>
      <w:r>
        <w:t>Stephanie</w:t>
      </w:r>
      <w:r w:rsidRPr="009025EB">
        <w:rPr>
          <w:lang w:val="en-AU"/>
        </w:rPr>
        <w:t xml:space="preserve"> (2011) </w:t>
      </w:r>
      <w:r>
        <w:rPr>
          <w:lang w:val="en-AU"/>
        </w:rPr>
        <w:t>Participation of low-income s</w:t>
      </w:r>
      <w:r w:rsidRPr="009025EB">
        <w:rPr>
          <w:lang w:val="en-AU"/>
        </w:rPr>
        <w:t>tudents in Ontario</w:t>
      </w:r>
      <w:r>
        <w:rPr>
          <w:lang w:val="en-AU"/>
        </w:rPr>
        <w:t xml:space="preserve">, </w:t>
      </w:r>
      <w:r w:rsidRPr="009025EB">
        <w:rPr>
          <w:lang w:val="en-AU"/>
        </w:rPr>
        <w:t>Higher Education Quality Council of Ontario</w:t>
      </w:r>
      <w:r>
        <w:rPr>
          <w:lang w:val="en-AU"/>
        </w:rPr>
        <w:t xml:space="preserve">, </w:t>
      </w:r>
      <w:r w:rsidRPr="009025EB">
        <w:rPr>
          <w:lang w:val="en-AU"/>
        </w:rPr>
        <w:t>Toronto</w:t>
      </w:r>
      <w:r>
        <w:rPr>
          <w:lang w:val="en-AU"/>
        </w:rPr>
        <w:t xml:space="preserve">, retrieved 5 October 2013 from  </w:t>
      </w:r>
      <w:hyperlink r:id="rId21" w:history="1">
        <w:r w:rsidRPr="009025EB">
          <w:rPr>
            <w:lang w:val="en-AU"/>
          </w:rPr>
          <w:t>http://heqco.ca/en-CA/Research/At_Issue_Papers/Pages/Summary.aspx?link=13</w:t>
        </w:r>
      </w:hyperlink>
    </w:p>
    <w:p w14:paraId="02F3BCA9" w14:textId="77777777" w:rsidR="00F731F2" w:rsidRPr="00F847A4" w:rsidRDefault="00F731F2" w:rsidP="00F731F2">
      <w:pPr>
        <w:rPr>
          <w:lang w:val="en-AU"/>
        </w:rPr>
      </w:pPr>
    </w:p>
    <w:p w14:paraId="5C9BDBC3" w14:textId="5155FAF7" w:rsidR="007D4ED2" w:rsidRPr="00271E62" w:rsidRDefault="007D4ED2" w:rsidP="007D4ED2">
      <w:r>
        <w:t xml:space="preserve">Department for Business Innovation and Skills (2011) </w:t>
      </w:r>
      <w:r w:rsidRPr="00B56AB0">
        <w:rPr>
          <w:i/>
        </w:rPr>
        <w:t xml:space="preserve">Higher education: students at the heart of the system </w:t>
      </w:r>
      <w:r>
        <w:t xml:space="preserve">(‘higher education white paper’), retrieved 29 June 2011 </w:t>
      </w:r>
      <w:hyperlink r:id="rId22" w:history="1">
        <w:r w:rsidRPr="00B56AB0">
          <w:t>http://www.bis.gov.uk/news/topstories/2011/Jun/he-white-paper-students-at-the-heart-of-the-system</w:t>
        </w:r>
      </w:hyperlink>
    </w:p>
    <w:p w14:paraId="34BA1E28" w14:textId="77777777" w:rsidR="00006091" w:rsidRPr="00006091" w:rsidRDefault="00006091" w:rsidP="00006091">
      <w:pPr>
        <w:rPr>
          <w:lang w:val="en-AU"/>
        </w:rPr>
      </w:pPr>
    </w:p>
    <w:p w14:paraId="6323C317" w14:textId="77777777" w:rsidR="00006091" w:rsidRPr="003B09B7" w:rsidRDefault="00805DE9" w:rsidP="00006091">
      <w:hyperlink r:id="rId23" w:history="1">
        <w:r w:rsidR="00006091" w:rsidRPr="003B09B7">
          <w:t>Department for Business, Innovation &amp; Skills</w:t>
        </w:r>
      </w:hyperlink>
      <w:r w:rsidR="00006091" w:rsidRPr="003B09B7">
        <w:t xml:space="preserve"> (2013) The Education (Recognised Bodies) (England) Order 2013, retrieved 4 March 2014</w:t>
      </w:r>
      <w:r w:rsidR="00006091">
        <w:t xml:space="preserve"> </w:t>
      </w:r>
      <w:r w:rsidR="00006091" w:rsidRPr="003B09B7">
        <w:t>http://www.legislation.gov.uk/uksi/2013/2992/made</w:t>
      </w:r>
    </w:p>
    <w:p w14:paraId="11DC4ED6" w14:textId="77777777" w:rsidR="007064A0" w:rsidRPr="00DE7106" w:rsidRDefault="007064A0" w:rsidP="007064A0"/>
    <w:p w14:paraId="589ED9A1" w14:textId="35EAF932" w:rsidR="007064A0" w:rsidRPr="007064A0" w:rsidRDefault="007064A0" w:rsidP="007064A0">
      <w:pPr>
        <w:rPr>
          <w:lang w:val="en-AU"/>
        </w:rPr>
      </w:pPr>
      <w:r w:rsidRPr="00DE7106">
        <w:t xml:space="preserve">Department of Innovation, Industry, Science, Research and Tertiary Education (2011) </w:t>
      </w:r>
      <w:r w:rsidRPr="00DE7106">
        <w:rPr>
          <w:lang w:val="en-AU"/>
        </w:rPr>
        <w:t>Mission-Based Compacts, retrieved 12 January 2013 from</w:t>
      </w:r>
      <w:r>
        <w:rPr>
          <w:lang w:val="en-AU"/>
        </w:rPr>
        <w:t xml:space="preserve"> </w:t>
      </w:r>
      <w:r w:rsidRPr="00DE7106">
        <w:t>http://www.innovation.gov.au/Research/MissionBasedCompacts/Pages/default.aspx</w:t>
      </w:r>
    </w:p>
    <w:p w14:paraId="6C866107" w14:textId="77777777" w:rsidR="009D3429" w:rsidRDefault="009D3429" w:rsidP="009D3429"/>
    <w:p w14:paraId="7A45495E" w14:textId="77777777" w:rsidR="009D3429" w:rsidRPr="00BC49F7" w:rsidRDefault="009D3429" w:rsidP="009D3429">
      <w:r>
        <w:t xml:space="preserve">Department of Industry, Innovation, Climate Change, Science, Research and Tertiary Education (2013) </w:t>
      </w:r>
      <w:r w:rsidRPr="000A2333">
        <w:t>Total resourcing for a Commonwealth supported place by discipline – 2014, retrieved 18 December 2013 from</w:t>
      </w:r>
      <w:r>
        <w:t xml:space="preserve"> </w:t>
      </w:r>
      <w:r w:rsidRPr="00BC49F7">
        <w:t>http://www.innovation.gov.au/HigherEducation/ResourcesAndPublications/Resources/Pages/ResourcesForStudentAdministrators.aspx</w:t>
      </w:r>
    </w:p>
    <w:p w14:paraId="2EBCAC50" w14:textId="77777777" w:rsidR="00790F70" w:rsidRDefault="00790F70" w:rsidP="00790F70"/>
    <w:p w14:paraId="709761F0" w14:textId="462D92EC" w:rsidR="00790F70" w:rsidRDefault="00790F70" w:rsidP="00790F70">
      <w:r>
        <w:t xml:space="preserve">Gillard, Julia (2009) </w:t>
      </w:r>
      <w:r w:rsidRPr="00E54369">
        <w:t>Universities Australia</w:t>
      </w:r>
      <w:r>
        <w:t xml:space="preserve"> c</w:t>
      </w:r>
      <w:r w:rsidRPr="00E54369">
        <w:t>onference - 4 March 2009 - speech</w:t>
      </w:r>
      <w:r>
        <w:t xml:space="preserve">, retrieved 4 March 2009 from </w:t>
      </w:r>
      <w:hyperlink r:id="rId24" w:history="1">
        <w:r w:rsidRPr="00E54369">
          <w:t>http://www.deewr.gov.au/Ministers/Gillard/Media/Speeches/Pages/Article_090304_155721.aspx</w:t>
        </w:r>
      </w:hyperlink>
    </w:p>
    <w:p w14:paraId="79593E27" w14:textId="77777777" w:rsidR="00F1414F" w:rsidRPr="00F1414F" w:rsidRDefault="00F1414F" w:rsidP="00D47147"/>
    <w:p w14:paraId="7FFA69DA" w14:textId="77777777" w:rsidR="00FA21E5" w:rsidRDefault="00FA21E5" w:rsidP="00D47147">
      <w:r>
        <w:t xml:space="preserve">Government of Ontario (2010) </w:t>
      </w:r>
      <w:r w:rsidRPr="004840E8">
        <w:rPr>
          <w:rFonts w:eastAsiaTheme="minorEastAsia"/>
        </w:rPr>
        <w:t>Speech from the throne</w:t>
      </w:r>
      <w:r>
        <w:t xml:space="preserve">, </w:t>
      </w:r>
      <w:r w:rsidRPr="004840E8">
        <w:rPr>
          <w:rFonts w:eastAsiaTheme="minorEastAsia"/>
        </w:rPr>
        <w:t>Toronto Star Newspapers Ltd</w:t>
      </w:r>
      <w:r>
        <w:t xml:space="preserve">, 8 March, retrieved 11 February 2014 from </w:t>
      </w:r>
      <w:r w:rsidRPr="004840E8">
        <w:t>http://www.thestar.com/news/ontario/2010/03/08/text_of_throne_speech.html</w:t>
      </w:r>
    </w:p>
    <w:p w14:paraId="57DEFE15" w14:textId="77777777" w:rsidR="005B4D1E" w:rsidRPr="00B603A1" w:rsidRDefault="005B4D1E" w:rsidP="005B4D1E">
      <w:pPr>
        <w:pStyle w:val="Default"/>
        <w:rPr>
          <w:rStyle w:val="A3"/>
          <w:rFonts w:ascii="Times New Roman" w:hAnsi="Times New Roman" w:cs="Times New Roman"/>
          <w:b w:val="0"/>
          <w:sz w:val="24"/>
          <w:szCs w:val="24"/>
        </w:rPr>
      </w:pPr>
    </w:p>
    <w:p w14:paraId="20C63E34" w14:textId="77777777" w:rsidR="005B4D1E" w:rsidRPr="00B603A1" w:rsidRDefault="005B4D1E" w:rsidP="005B4D1E">
      <w:pPr>
        <w:pStyle w:val="Default"/>
        <w:rPr>
          <w:rStyle w:val="A3"/>
          <w:rFonts w:ascii="Times New Roman" w:hAnsi="Times New Roman" w:cs="Times New Roman"/>
          <w:b w:val="0"/>
          <w:sz w:val="24"/>
          <w:szCs w:val="24"/>
        </w:rPr>
      </w:pPr>
      <w:r w:rsidRPr="00B603A1">
        <w:rPr>
          <w:rStyle w:val="A3"/>
          <w:rFonts w:ascii="Times New Roman" w:hAnsi="Times New Roman" w:cs="Times New Roman"/>
          <w:b w:val="0"/>
          <w:sz w:val="24"/>
          <w:szCs w:val="24"/>
        </w:rPr>
        <w:t>Hackett, Libby (forthcoming) A comparison of higher education funding in England and Australia: what can we learn? Higher Education Policy Institute, Oxford.</w:t>
      </w:r>
    </w:p>
    <w:p w14:paraId="537AF29F" w14:textId="77777777" w:rsidR="000D611C" w:rsidRDefault="000D611C" w:rsidP="000D611C"/>
    <w:p w14:paraId="344CD829" w14:textId="09ECF43D" w:rsidR="000D611C" w:rsidRPr="000D611C" w:rsidRDefault="000D611C" w:rsidP="000D611C">
      <w:pPr>
        <w:rPr>
          <w:rFonts w:eastAsiaTheme="minorEastAsia"/>
        </w:rPr>
      </w:pPr>
      <w:r>
        <w:t xml:space="preserve">Hare, Julie (2014) </w:t>
      </w:r>
      <w:r w:rsidRPr="0071660D">
        <w:rPr>
          <w:rFonts w:eastAsiaTheme="minorEastAsia"/>
        </w:rPr>
        <w:t xml:space="preserve">Christopher Pyne’s about-face on ATAR vs quality, </w:t>
      </w:r>
      <w:r w:rsidRPr="0071660D">
        <w:rPr>
          <w:rFonts w:eastAsiaTheme="minorEastAsia"/>
          <w:i/>
        </w:rPr>
        <w:t>Australian</w:t>
      </w:r>
      <w:r w:rsidRPr="0071660D">
        <w:rPr>
          <w:rFonts w:eastAsiaTheme="minorEastAsia"/>
        </w:rPr>
        <w:t>, 21 February, retrieved 6 March 2014 from</w:t>
      </w:r>
      <w:r>
        <w:rPr>
          <w:rFonts w:eastAsiaTheme="minorEastAsia"/>
        </w:rPr>
        <w:t xml:space="preserve"> </w:t>
      </w:r>
      <w:r w:rsidRPr="0071660D">
        <w:t>http://www.theaustralian.com.au/higher-education/christopher-pynes-aboutface-on-atar-vs-quality/story-e6frgcjx-1226833017898?utm_source=feedburner&amp;utm_medium=feed&amp;utm_campaign=Feed%3A+TheAustralianHigherEducationNews+%28The+Australian+%7C+Higher+Education%29</w:t>
      </w:r>
    </w:p>
    <w:p w14:paraId="68CC0DFB" w14:textId="77777777" w:rsidR="00485401" w:rsidRDefault="00485401" w:rsidP="00485401"/>
    <w:p w14:paraId="7741473F" w14:textId="5163B9FC" w:rsidR="00485401" w:rsidRPr="00FE3255" w:rsidRDefault="00485401" w:rsidP="00485401">
      <w:pPr>
        <w:rPr>
          <w:rFonts w:eastAsiaTheme="minorEastAsia"/>
        </w:rPr>
      </w:pPr>
      <w:r>
        <w:t xml:space="preserve">Hefce (2013a) </w:t>
      </w:r>
      <w:r w:rsidRPr="00FE3255">
        <w:rPr>
          <w:rFonts w:eastAsiaTheme="minorEastAsia"/>
        </w:rPr>
        <w:t>Financial memorandum: conditions of grant payments to institutions: Consultation on arrangements for 2014-15 onwar</w:t>
      </w:r>
      <w:r>
        <w:rPr>
          <w:rFonts w:eastAsiaTheme="minorEastAsia"/>
        </w:rPr>
        <w:t xml:space="preserve">ds, retrieved 5 March 2014 from </w:t>
      </w:r>
      <w:r w:rsidRPr="00FE3255">
        <w:rPr>
          <w:rFonts w:eastAsiaTheme="minorEastAsia"/>
        </w:rPr>
        <w:t>http://www.hefce.ac.uk/pubs/year/2013/201321/#d.en.83224</w:t>
      </w:r>
    </w:p>
    <w:p w14:paraId="1E573FC3" w14:textId="77777777" w:rsidR="00485401" w:rsidRDefault="00485401" w:rsidP="00485401"/>
    <w:p w14:paraId="1435E9B1" w14:textId="0E772896" w:rsidR="00485401" w:rsidRPr="006F18FB" w:rsidRDefault="00485401" w:rsidP="00485401">
      <w:r>
        <w:t xml:space="preserve">Hefce (2013b) </w:t>
      </w:r>
      <w:r w:rsidRPr="00485401">
        <w:t>Unistats and key information sets, retrieved 5 March 2014 from</w:t>
      </w:r>
      <w:r>
        <w:t xml:space="preserve"> </w:t>
      </w:r>
      <w:r w:rsidRPr="006F18FB">
        <w:t>http://www.hefce.ac.uk/whatwedo/lt/publicinfo/kis/</w:t>
      </w:r>
    </w:p>
    <w:p w14:paraId="6184633E" w14:textId="77777777" w:rsidR="00195F51" w:rsidRPr="00546577" w:rsidRDefault="00195F51" w:rsidP="00195F51">
      <w:pPr>
        <w:rPr>
          <w:lang w:val="en-AU"/>
        </w:rPr>
      </w:pPr>
    </w:p>
    <w:p w14:paraId="46BB45F6" w14:textId="33D66FBE" w:rsidR="00195F51" w:rsidRPr="00546577" w:rsidRDefault="00195F51" w:rsidP="00195F51">
      <w:pPr>
        <w:pStyle w:val="Default"/>
        <w:rPr>
          <w:rFonts w:ascii="Times New Roman" w:hAnsi="Times New Roman" w:cs="Times New Roman"/>
          <w:lang w:val="en-AU"/>
        </w:rPr>
      </w:pPr>
      <w:r w:rsidRPr="00546577">
        <w:rPr>
          <w:rFonts w:ascii="Times New Roman" w:hAnsi="Times New Roman" w:cs="Times New Roman"/>
        </w:rPr>
        <w:t xml:space="preserve">Hicks, Martin, Weingarten, Harvey P, Jonker, Linda and Liu, Shuping (2013) </w:t>
      </w:r>
      <w:r w:rsidRPr="00546577">
        <w:rPr>
          <w:rFonts w:ascii="Times New Roman" w:hAnsi="Times New Roman" w:cs="Times New Roman"/>
          <w:i/>
          <w:iCs/>
        </w:rPr>
        <w:t xml:space="preserve">The diversity of Ontario’s colleges: a data set to inform the differentiation discussion. </w:t>
      </w:r>
      <w:r w:rsidRPr="00546577">
        <w:rPr>
          <w:rFonts w:ascii="Times New Roman" w:hAnsi="Times New Roman" w:cs="Times New Roman"/>
        </w:rPr>
        <w:t>Toronto: Higher Education Quality Council of Ontario, retrieved 13 September 2013 from</w:t>
      </w:r>
      <w:r>
        <w:rPr>
          <w:rFonts w:ascii="Times New Roman" w:hAnsi="Times New Roman" w:cs="Times New Roman"/>
        </w:rPr>
        <w:t xml:space="preserve"> </w:t>
      </w:r>
      <w:hyperlink r:id="rId25" w:history="1">
        <w:r w:rsidRPr="00546577">
          <w:rPr>
            <w:rFonts w:ascii="Times New Roman" w:hAnsi="Times New Roman" w:cs="Times New Roman"/>
            <w:lang w:val="en-AU"/>
          </w:rPr>
          <w:t>http://heqco.ca/SiteCollectionDocuments/College_Differentiation_Report.pdf</w:t>
        </w:r>
      </w:hyperlink>
    </w:p>
    <w:p w14:paraId="2BCAA571" w14:textId="77777777" w:rsidR="00923D1E" w:rsidRDefault="00923D1E" w:rsidP="00923D1E">
      <w:pPr>
        <w:rPr>
          <w:lang w:val="en-AU"/>
        </w:rPr>
      </w:pPr>
    </w:p>
    <w:p w14:paraId="1839B087" w14:textId="77777777" w:rsidR="00923D1E" w:rsidRPr="00E95E1B" w:rsidRDefault="00923D1E" w:rsidP="00923D1E">
      <w:pPr>
        <w:rPr>
          <w:lang w:val="en-AU"/>
        </w:rPr>
      </w:pPr>
      <w:r w:rsidRPr="00E95E1B">
        <w:rPr>
          <w:lang w:val="en-AU"/>
        </w:rPr>
        <w:t>Higher Education Strategy Associates. (2012). Changing times, changing places: the global evolution of the bachelor’s degree and the implications for Ontario. Toronto: Higher Education Quality Council of Ontario.</w:t>
      </w:r>
    </w:p>
    <w:p w14:paraId="403D0FA5" w14:textId="77777777" w:rsidR="00A24CDF" w:rsidRPr="00613BA6" w:rsidRDefault="00A24CDF" w:rsidP="00A24CDF">
      <w:pPr>
        <w:rPr>
          <w:color w:val="000000"/>
        </w:rPr>
      </w:pPr>
    </w:p>
    <w:p w14:paraId="018DF21B" w14:textId="77777777" w:rsidR="00A24CDF" w:rsidRPr="00613BA6" w:rsidRDefault="00A24CDF" w:rsidP="00A24CDF">
      <w:pPr>
        <w:autoSpaceDE w:val="0"/>
        <w:autoSpaceDN w:val="0"/>
        <w:adjustRightInd w:val="0"/>
        <w:rPr>
          <w:color w:val="000000"/>
        </w:rPr>
      </w:pPr>
      <w:r w:rsidRPr="00613BA6">
        <w:rPr>
          <w:color w:val="000000"/>
        </w:rPr>
        <w:t xml:space="preserve">Higher Education Quality Council of Ontario (2013) </w:t>
      </w:r>
      <w:r w:rsidRPr="00613BA6">
        <w:rPr>
          <w:i/>
          <w:iCs/>
          <w:color w:val="000000"/>
        </w:rPr>
        <w:t>Q</w:t>
      </w:r>
      <w:r>
        <w:rPr>
          <w:i/>
          <w:iCs/>
          <w:color w:val="000000"/>
        </w:rPr>
        <w:t>uality: shifting the focus</w:t>
      </w:r>
      <w:r w:rsidRPr="00613BA6">
        <w:rPr>
          <w:i/>
          <w:iCs/>
          <w:color w:val="000000"/>
        </w:rPr>
        <w:t xml:space="preserve">. A </w:t>
      </w:r>
      <w:r>
        <w:rPr>
          <w:i/>
          <w:iCs/>
          <w:color w:val="000000"/>
        </w:rPr>
        <w:t>r</w:t>
      </w:r>
      <w:r w:rsidRPr="00613BA6">
        <w:rPr>
          <w:i/>
          <w:iCs/>
          <w:color w:val="000000"/>
        </w:rPr>
        <w:t>eport</w:t>
      </w:r>
      <w:r>
        <w:rPr>
          <w:i/>
          <w:iCs/>
          <w:color w:val="000000"/>
        </w:rPr>
        <w:t xml:space="preserve"> </w:t>
      </w:r>
      <w:r w:rsidRPr="00613BA6">
        <w:rPr>
          <w:i/>
          <w:iCs/>
          <w:color w:val="000000"/>
        </w:rPr>
        <w:t xml:space="preserve">from the </w:t>
      </w:r>
      <w:r>
        <w:rPr>
          <w:i/>
          <w:iCs/>
          <w:color w:val="000000"/>
        </w:rPr>
        <w:t>e</w:t>
      </w:r>
      <w:r w:rsidRPr="00613BA6">
        <w:rPr>
          <w:i/>
          <w:iCs/>
          <w:color w:val="000000"/>
        </w:rPr>
        <w:t xml:space="preserve">xpert </w:t>
      </w:r>
      <w:r>
        <w:rPr>
          <w:i/>
          <w:iCs/>
          <w:color w:val="000000"/>
        </w:rPr>
        <w:t>p</w:t>
      </w:r>
      <w:r w:rsidRPr="00613BA6">
        <w:rPr>
          <w:i/>
          <w:iCs/>
          <w:color w:val="000000"/>
        </w:rPr>
        <w:t xml:space="preserve">anel to </w:t>
      </w:r>
      <w:r>
        <w:rPr>
          <w:i/>
          <w:iCs/>
          <w:color w:val="000000"/>
        </w:rPr>
        <w:t>a</w:t>
      </w:r>
      <w:r w:rsidRPr="00613BA6">
        <w:rPr>
          <w:i/>
          <w:iCs/>
          <w:color w:val="000000"/>
        </w:rPr>
        <w:t xml:space="preserve">ssess the </w:t>
      </w:r>
      <w:r>
        <w:rPr>
          <w:i/>
          <w:iCs/>
          <w:color w:val="000000"/>
        </w:rPr>
        <w:t>s</w:t>
      </w:r>
      <w:r w:rsidRPr="00613BA6">
        <w:rPr>
          <w:i/>
          <w:iCs/>
          <w:color w:val="000000"/>
        </w:rPr>
        <w:t xml:space="preserve">trategic </w:t>
      </w:r>
      <w:r>
        <w:rPr>
          <w:i/>
          <w:iCs/>
          <w:color w:val="000000"/>
        </w:rPr>
        <w:t>m</w:t>
      </w:r>
      <w:r w:rsidRPr="00613BA6">
        <w:rPr>
          <w:i/>
          <w:iCs/>
          <w:color w:val="000000"/>
        </w:rPr>
        <w:t xml:space="preserve">andate </w:t>
      </w:r>
      <w:r>
        <w:rPr>
          <w:i/>
          <w:iCs/>
          <w:color w:val="000000"/>
        </w:rPr>
        <w:t>a</w:t>
      </w:r>
      <w:r w:rsidRPr="00613BA6">
        <w:rPr>
          <w:i/>
          <w:iCs/>
          <w:color w:val="000000"/>
        </w:rPr>
        <w:t xml:space="preserve">greement </w:t>
      </w:r>
      <w:r>
        <w:rPr>
          <w:i/>
          <w:iCs/>
          <w:color w:val="000000"/>
        </w:rPr>
        <w:t>s</w:t>
      </w:r>
      <w:r w:rsidRPr="00613BA6">
        <w:rPr>
          <w:i/>
          <w:iCs/>
          <w:color w:val="000000"/>
        </w:rPr>
        <w:t>ubmissions</w:t>
      </w:r>
      <w:r>
        <w:rPr>
          <w:iCs/>
          <w:color w:val="000000"/>
        </w:rPr>
        <w:t xml:space="preserve">, </w:t>
      </w:r>
      <w:r w:rsidRPr="00613BA6">
        <w:rPr>
          <w:color w:val="000000"/>
        </w:rPr>
        <w:t>Higher Education Quality Council of Ontario</w:t>
      </w:r>
      <w:r>
        <w:rPr>
          <w:color w:val="000000"/>
        </w:rPr>
        <w:t xml:space="preserve">, </w:t>
      </w:r>
      <w:r w:rsidRPr="00613BA6">
        <w:rPr>
          <w:color w:val="000000"/>
        </w:rPr>
        <w:t>Toronto</w:t>
      </w:r>
      <w:r>
        <w:rPr>
          <w:color w:val="000000"/>
        </w:rPr>
        <w:t xml:space="preserve">, retrieved 24 July 2013 from </w:t>
      </w:r>
      <w:hyperlink r:id="rId26" w:history="1">
        <w:r w:rsidRPr="00A24CDF">
          <w:t>http://heqco.ca/en-CA/About%20Us/policyadvice/Pages/smas.aspx</w:t>
        </w:r>
      </w:hyperlink>
    </w:p>
    <w:p w14:paraId="4ACDB696" w14:textId="77777777" w:rsidR="00E93441" w:rsidRDefault="00E93441" w:rsidP="00E93441"/>
    <w:p w14:paraId="50E2849D" w14:textId="77777777" w:rsidR="00E93441" w:rsidRPr="001444F6" w:rsidRDefault="00E93441" w:rsidP="00E93441">
      <w:r w:rsidRPr="001444F6">
        <w:t>Hillman</w:t>
      </w:r>
      <w:r>
        <w:t xml:space="preserve">, </w:t>
      </w:r>
      <w:r w:rsidRPr="001444F6">
        <w:t>Nick</w:t>
      </w:r>
      <w:r>
        <w:t xml:space="preserve"> (2014)</w:t>
      </w:r>
      <w:r w:rsidRPr="001444F6">
        <w:t xml:space="preserve"> </w:t>
      </w:r>
      <w:r>
        <w:t>Unfinished b</w:t>
      </w:r>
      <w:r w:rsidRPr="001444F6">
        <w:t>usiness?: Higher education legislation</w:t>
      </w:r>
      <w:r>
        <w:t xml:space="preserve">, Higher Education Policy Institute, Oxford. Accessed 6 March 2014 from </w:t>
      </w:r>
      <w:r w:rsidRPr="001444F6">
        <w:t>http://www.hepi.ac.uk/466-2253/Unfinished-Business--Higher-education-legislation.html</w:t>
      </w:r>
    </w:p>
    <w:p w14:paraId="4AB7649D" w14:textId="77777777" w:rsidR="00BD5912" w:rsidRPr="00BD5912" w:rsidRDefault="00BD5912" w:rsidP="00BD5912">
      <w:pPr>
        <w:pStyle w:val="Default"/>
        <w:rPr>
          <w:rStyle w:val="A3"/>
          <w:rFonts w:ascii="Times New Roman" w:hAnsi="Times New Roman" w:cs="Times New Roman"/>
          <w:b w:val="0"/>
          <w:sz w:val="24"/>
          <w:szCs w:val="24"/>
        </w:rPr>
      </w:pPr>
    </w:p>
    <w:p w14:paraId="287DFC67" w14:textId="46B1274F" w:rsidR="00BD5912" w:rsidRPr="00BD5912" w:rsidRDefault="00BD5912" w:rsidP="00BD5912">
      <w:pPr>
        <w:pStyle w:val="Default"/>
        <w:rPr>
          <w:rStyle w:val="A3"/>
          <w:rFonts w:ascii="Times New Roman" w:hAnsi="Times New Roman" w:cs="Times New Roman"/>
          <w:b w:val="0"/>
          <w:sz w:val="24"/>
          <w:szCs w:val="24"/>
        </w:rPr>
      </w:pPr>
      <w:r w:rsidRPr="00BD5912">
        <w:rPr>
          <w:rStyle w:val="A3"/>
          <w:rFonts w:ascii="Times New Roman" w:hAnsi="Times New Roman" w:cs="Times New Roman"/>
          <w:b w:val="0"/>
          <w:sz w:val="24"/>
          <w:szCs w:val="24"/>
        </w:rPr>
        <w:t xml:space="preserve">HM Treasury (2013) </w:t>
      </w:r>
      <w:r w:rsidRPr="00BD5912">
        <w:rPr>
          <w:rStyle w:val="A3"/>
          <w:rFonts w:ascii="Times New Roman" w:hAnsi="Times New Roman" w:cs="Times New Roman"/>
          <w:b w:val="0"/>
          <w:i/>
          <w:sz w:val="24"/>
          <w:szCs w:val="24"/>
        </w:rPr>
        <w:t>Autumn statement 2013</w:t>
      </w:r>
      <w:r w:rsidRPr="00BD5912">
        <w:rPr>
          <w:rStyle w:val="A3"/>
          <w:rFonts w:ascii="Times New Roman" w:hAnsi="Times New Roman" w:cs="Times New Roman"/>
          <w:b w:val="0"/>
          <w:sz w:val="24"/>
          <w:szCs w:val="24"/>
        </w:rPr>
        <w:t xml:space="preserve">, presented to Parliament by the Chancellor of the Exchequer by command of Her Majesty, Cm 8747, </w:t>
      </w:r>
      <w:r>
        <w:rPr>
          <w:rStyle w:val="A3"/>
          <w:rFonts w:ascii="Times New Roman" w:hAnsi="Times New Roman" w:cs="Times New Roman"/>
          <w:b w:val="0"/>
          <w:sz w:val="24"/>
          <w:szCs w:val="24"/>
        </w:rPr>
        <w:t>t</w:t>
      </w:r>
      <w:r w:rsidRPr="00BD5912">
        <w:rPr>
          <w:rStyle w:val="A3"/>
          <w:rFonts w:ascii="Times New Roman" w:hAnsi="Times New Roman" w:cs="Times New Roman"/>
          <w:b w:val="0"/>
          <w:sz w:val="24"/>
          <w:szCs w:val="24"/>
        </w:rPr>
        <w:t>he Stationery Office, London. Retrieved 21 December 2013 from</w:t>
      </w:r>
      <w:r>
        <w:rPr>
          <w:rStyle w:val="A3"/>
          <w:rFonts w:ascii="Times New Roman" w:hAnsi="Times New Roman" w:cs="Times New Roman"/>
          <w:b w:val="0"/>
          <w:sz w:val="24"/>
          <w:szCs w:val="24"/>
        </w:rPr>
        <w:t xml:space="preserve"> </w:t>
      </w:r>
      <w:r w:rsidRPr="00BD5912">
        <w:rPr>
          <w:rStyle w:val="A3"/>
          <w:rFonts w:ascii="Times New Roman" w:hAnsi="Times New Roman" w:cs="Times New Roman"/>
          <w:b w:val="0"/>
          <w:sz w:val="24"/>
          <w:szCs w:val="24"/>
        </w:rPr>
        <w:t>https://www.gov.uk/government/publications/autumn-statement-2013-documents</w:t>
      </w:r>
    </w:p>
    <w:p w14:paraId="1FBFE02E" w14:textId="77777777" w:rsidR="00A236C6" w:rsidRPr="00A236C6" w:rsidRDefault="00A236C6" w:rsidP="00A236C6">
      <w:pPr>
        <w:rPr>
          <w:rStyle w:val="A3"/>
          <w:rFonts w:cs="Times New Roman"/>
          <w:b w:val="0"/>
          <w:sz w:val="24"/>
          <w:szCs w:val="24"/>
        </w:rPr>
      </w:pPr>
    </w:p>
    <w:p w14:paraId="1F081A5B" w14:textId="77777777" w:rsidR="00A236C6" w:rsidRPr="00A236C6" w:rsidRDefault="00A236C6" w:rsidP="00A236C6">
      <w:pPr>
        <w:rPr>
          <w:rStyle w:val="A3"/>
          <w:rFonts w:cs="Times New Roman"/>
          <w:b w:val="0"/>
          <w:bCs w:val="0"/>
          <w:color w:val="auto"/>
          <w:sz w:val="21"/>
          <w:szCs w:val="21"/>
          <w:lang w:eastAsia="en-US"/>
        </w:rPr>
      </w:pPr>
      <w:r w:rsidRPr="00A236C6">
        <w:rPr>
          <w:rStyle w:val="A3"/>
          <w:rFonts w:cs="Times New Roman"/>
          <w:b w:val="0"/>
          <w:sz w:val="24"/>
          <w:szCs w:val="24"/>
        </w:rPr>
        <w:t xml:space="preserve">Jones, Glenn A (2013) Lineation and lobbying: policy networks and higher education policy in Ontario, in </w:t>
      </w:r>
      <w:hyperlink r:id="rId27" w:history="1">
        <w:r w:rsidRPr="00A236C6">
          <w:rPr>
            <w:rStyle w:val="A3"/>
            <w:rFonts w:cs="Times New Roman"/>
            <w:b w:val="0"/>
            <w:sz w:val="24"/>
            <w:szCs w:val="24"/>
          </w:rPr>
          <w:t>Paul Axelrod</w:t>
        </w:r>
      </w:hyperlink>
      <w:r w:rsidRPr="00882F13">
        <w:rPr>
          <w:rStyle w:val="A3"/>
          <w:rFonts w:cs="Times New Roman"/>
          <w:b w:val="0"/>
          <w:sz w:val="24"/>
          <w:szCs w:val="24"/>
        </w:rPr>
        <w:t>, </w:t>
      </w:r>
      <w:hyperlink r:id="rId28" w:history="1">
        <w:r w:rsidRPr="00882F13">
          <w:rPr>
            <w:rStyle w:val="A3"/>
            <w:rFonts w:cs="Times New Roman"/>
            <w:b w:val="0"/>
            <w:sz w:val="24"/>
            <w:szCs w:val="24"/>
          </w:rPr>
          <w:t>Roopa Desai Trilokekar</w:t>
        </w:r>
      </w:hyperlink>
      <w:r w:rsidRPr="00882F13">
        <w:rPr>
          <w:rStyle w:val="A3"/>
          <w:rFonts w:cs="Times New Roman"/>
          <w:b w:val="0"/>
          <w:sz w:val="24"/>
          <w:szCs w:val="24"/>
        </w:rPr>
        <w:t>, </w:t>
      </w:r>
      <w:hyperlink r:id="rId29" w:history="1">
        <w:r w:rsidRPr="00882F13">
          <w:rPr>
            <w:rStyle w:val="A3"/>
            <w:rFonts w:cs="Times New Roman"/>
            <w:b w:val="0"/>
            <w:sz w:val="24"/>
            <w:szCs w:val="24"/>
          </w:rPr>
          <w:t>Theresa Shanahan</w:t>
        </w:r>
      </w:hyperlink>
      <w:r w:rsidRPr="00882F13">
        <w:rPr>
          <w:rStyle w:val="A3"/>
          <w:rFonts w:cs="Times New Roman"/>
          <w:b w:val="0"/>
          <w:sz w:val="24"/>
          <w:szCs w:val="24"/>
        </w:rPr>
        <w:t> and </w:t>
      </w:r>
      <w:hyperlink r:id="rId30" w:history="1">
        <w:r w:rsidRPr="00882F13">
          <w:rPr>
            <w:rStyle w:val="A3"/>
            <w:rFonts w:cs="Times New Roman"/>
            <w:b w:val="0"/>
            <w:sz w:val="24"/>
            <w:szCs w:val="24"/>
          </w:rPr>
          <w:t>Richard Wellen</w:t>
        </w:r>
      </w:hyperlink>
      <w:r>
        <w:rPr>
          <w:rStyle w:val="A3"/>
          <w:rFonts w:cs="Times New Roman"/>
          <w:b w:val="0"/>
          <w:sz w:val="24"/>
          <w:szCs w:val="24"/>
        </w:rPr>
        <w:t xml:space="preserve"> (editors) </w:t>
      </w:r>
      <w:r w:rsidRPr="00882F13">
        <w:rPr>
          <w:rStyle w:val="A3"/>
          <w:rFonts w:cs="Times New Roman"/>
          <w:b w:val="0"/>
          <w:i/>
          <w:sz w:val="24"/>
          <w:szCs w:val="24"/>
        </w:rPr>
        <w:t xml:space="preserve">Making policy in turbulent times: </w:t>
      </w:r>
      <w:r w:rsidRPr="00882F13">
        <w:rPr>
          <w:rStyle w:val="A3"/>
          <w:rFonts w:cs="Times New Roman"/>
          <w:b w:val="0"/>
          <w:bCs w:val="0"/>
          <w:i/>
          <w:sz w:val="24"/>
          <w:szCs w:val="24"/>
        </w:rPr>
        <w:t>challenges and prospects for higher education</w:t>
      </w:r>
      <w:r>
        <w:rPr>
          <w:rStyle w:val="A3"/>
          <w:rFonts w:cs="Times New Roman"/>
          <w:b w:val="0"/>
          <w:i/>
          <w:sz w:val="24"/>
          <w:szCs w:val="24"/>
        </w:rPr>
        <w:t xml:space="preserve">, </w:t>
      </w:r>
      <w:r>
        <w:rPr>
          <w:rStyle w:val="A3"/>
          <w:rFonts w:cs="Times New Roman"/>
          <w:b w:val="0"/>
          <w:sz w:val="24"/>
          <w:szCs w:val="24"/>
        </w:rPr>
        <w:t>McGill-Queens University Press, Montreal &amp; Kingston, pages 99-</w:t>
      </w:r>
      <w:r w:rsidRPr="00882F13">
        <w:rPr>
          <w:rStyle w:val="A3"/>
          <w:rFonts w:cs="Times New Roman"/>
          <w:b w:val="0"/>
          <w:sz w:val="24"/>
          <w:szCs w:val="24"/>
        </w:rPr>
        <w:t>116</w:t>
      </w:r>
      <w:r>
        <w:rPr>
          <w:rStyle w:val="A3"/>
          <w:rFonts w:cs="Times New Roman"/>
          <w:b w:val="0"/>
          <w:sz w:val="24"/>
          <w:szCs w:val="24"/>
        </w:rPr>
        <w:t>.</w:t>
      </w:r>
    </w:p>
    <w:p w14:paraId="54491FE9" w14:textId="77777777" w:rsidR="008335FE" w:rsidRPr="008335FE" w:rsidRDefault="008335FE" w:rsidP="008335FE">
      <w:pPr>
        <w:rPr>
          <w:color w:val="000000" w:themeColor="text1"/>
        </w:rPr>
      </w:pPr>
    </w:p>
    <w:p w14:paraId="145A156C" w14:textId="05E16016" w:rsidR="008335FE" w:rsidRPr="008335FE" w:rsidRDefault="008335FE" w:rsidP="008335FE">
      <w:pPr>
        <w:rPr>
          <w:color w:val="000000" w:themeColor="text1"/>
        </w:rPr>
      </w:pPr>
      <w:r>
        <w:rPr>
          <w:color w:val="000000" w:themeColor="text1"/>
        </w:rPr>
        <w:t>Jongbloed, B</w:t>
      </w:r>
      <w:r w:rsidRPr="008335FE">
        <w:rPr>
          <w:color w:val="000000" w:themeColor="text1"/>
        </w:rPr>
        <w:t xml:space="preserve"> (2003) Marketisation in higher education, Clark’s triangle and the essential ingredients of markets, </w:t>
      </w:r>
      <w:r w:rsidRPr="008335FE">
        <w:rPr>
          <w:i/>
          <w:color w:val="000000" w:themeColor="text1"/>
        </w:rPr>
        <w:t>Higher Education Quarterly</w:t>
      </w:r>
      <w:r w:rsidRPr="008335FE">
        <w:rPr>
          <w:color w:val="000000" w:themeColor="text1"/>
        </w:rPr>
        <w:t>, 57 (2</w:t>
      </w:r>
      <w:r w:rsidR="00C76F34">
        <w:rPr>
          <w:color w:val="000000" w:themeColor="text1"/>
        </w:rPr>
        <w:t>), pages</w:t>
      </w:r>
      <w:r w:rsidRPr="008335FE">
        <w:rPr>
          <w:color w:val="000000" w:themeColor="text1"/>
        </w:rPr>
        <w:t xml:space="preserve"> 110–135.</w:t>
      </w:r>
    </w:p>
    <w:p w14:paraId="52F27814" w14:textId="77777777" w:rsidR="00322463" w:rsidRDefault="00322463" w:rsidP="00322463"/>
    <w:p w14:paraId="4893A149" w14:textId="136A5ADD" w:rsidR="00322463" w:rsidRDefault="00322463" w:rsidP="00322463">
      <w:r>
        <w:t xml:space="preserve">Lochner, Lance, Stinebrickner, Todd and Suleymanoglu, Utku (2013) The importance of financial resources for student loan repayment, CIBC working paper # 2013-7, Western University, London, ON, retrieved 10 March 2014 from </w:t>
      </w:r>
      <w:r w:rsidRPr="00222851">
        <w:t>http://www.economics.uwo.ca/cibc/workingpapers_docs/wp2013/Lochner_Stinebrickner_Suleymanoglu07.pdf</w:t>
      </w:r>
    </w:p>
    <w:p w14:paraId="3A3FF2C0" w14:textId="77777777" w:rsidR="000456DD" w:rsidRPr="008335FE" w:rsidRDefault="000456DD" w:rsidP="000456DD">
      <w:pPr>
        <w:rPr>
          <w:color w:val="000000" w:themeColor="text1"/>
        </w:rPr>
      </w:pPr>
    </w:p>
    <w:p w14:paraId="5E372348" w14:textId="404AB83D" w:rsidR="000456DD" w:rsidRDefault="000456DD" w:rsidP="000456DD">
      <w:r>
        <w:t xml:space="preserve">Macleans.ca (no date) 2014 university rankings, retrieved 4 March 2014 from </w:t>
      </w:r>
      <w:r w:rsidRPr="00234FE7">
        <w:t>http://oncampus.macleans.ca/education/rankings/</w:t>
      </w:r>
    </w:p>
    <w:p w14:paraId="6DD49712" w14:textId="77777777" w:rsidR="00D43FE0" w:rsidRDefault="00D43FE0" w:rsidP="00D43FE0">
      <w:pPr>
        <w:rPr>
          <w:lang w:val="en-AU"/>
        </w:rPr>
      </w:pPr>
    </w:p>
    <w:p w14:paraId="0FB48189" w14:textId="77777777" w:rsidR="00D43FE0" w:rsidRDefault="00D43FE0" w:rsidP="00D43FE0">
      <w:pPr>
        <w:rPr>
          <w:lang w:val="en-AU"/>
        </w:rPr>
      </w:pPr>
      <w:r>
        <w:rPr>
          <w:lang w:val="en-AU"/>
        </w:rPr>
        <w:t xml:space="preserve">Mathews, David (2013) </w:t>
      </w:r>
      <w:r w:rsidRPr="00254710">
        <w:rPr>
          <w:lang w:val="en-AU"/>
        </w:rPr>
        <w:t>Cable sa</w:t>
      </w:r>
      <w:r>
        <w:rPr>
          <w:lang w:val="en-AU"/>
        </w:rPr>
        <w:t>ys lines between FE and HE are ‘deliberately blurred’</w:t>
      </w:r>
      <w:r w:rsidRPr="00254710">
        <w:rPr>
          <w:lang w:val="en-AU"/>
        </w:rPr>
        <w:t xml:space="preserve">, </w:t>
      </w:r>
      <w:r w:rsidRPr="00254710">
        <w:rPr>
          <w:i/>
          <w:lang w:val="en-AU"/>
        </w:rPr>
        <w:t>Times Higher Education</w:t>
      </w:r>
      <w:r>
        <w:rPr>
          <w:lang w:val="en-AU"/>
        </w:rPr>
        <w:t xml:space="preserve">, 21 November, retrieved 23 November 2013 from </w:t>
      </w:r>
      <w:hyperlink r:id="rId31" w:history="1">
        <w:r w:rsidRPr="00254710">
          <w:rPr>
            <w:lang w:val="en-AU"/>
          </w:rPr>
          <w:t>http://www.timeshighereducation.co.uk/news/cable-says-lines-between-fe-and-he-are-deliberately-blurred/2009235.article</w:t>
        </w:r>
      </w:hyperlink>
    </w:p>
    <w:p w14:paraId="3B4536E0" w14:textId="77777777" w:rsidR="00332DA8" w:rsidRDefault="00332DA8" w:rsidP="00332DA8"/>
    <w:p w14:paraId="28D15BF9" w14:textId="6C909325" w:rsidR="00332DA8" w:rsidRDefault="00332DA8" w:rsidP="00332DA8">
      <w:r>
        <w:t xml:space="preserve">Ministry of Training, Colleges and Universities and University of Waterloo (2007) </w:t>
      </w:r>
      <w:r w:rsidRPr="00D53F23">
        <w:t>Multi-year agreement for universities for 2006-07 to 2008-09, retrieved 25 February 2014 from</w:t>
      </w:r>
      <w:r>
        <w:t xml:space="preserve"> </w:t>
      </w:r>
      <w:r w:rsidRPr="00D53F23">
        <w:t>https://uwaterloo.ca/institutional-analysis-planning/reports/multi-year-accountability-agreements-myaa-0</w:t>
      </w:r>
    </w:p>
    <w:p w14:paraId="58BF301D" w14:textId="77777777" w:rsidR="00514652" w:rsidRDefault="00514652" w:rsidP="00514652"/>
    <w:p w14:paraId="39A5A3E0" w14:textId="77777777" w:rsidR="00514652" w:rsidRDefault="00514652" w:rsidP="00514652">
      <w:r>
        <w:t>Ministry of Training, Colleges and Universities (2011) Putting students first: O</w:t>
      </w:r>
      <w:r w:rsidRPr="00A817B8">
        <w:t>ntario's p</w:t>
      </w:r>
      <w:r>
        <w:t xml:space="preserve">lan for postsecondary education, retrieved 11 February 2014 from </w:t>
      </w:r>
      <w:r w:rsidRPr="002B3EA5">
        <w:t>http://www2.algonquincollege.com/vision-2020/files/2011/04/Putting-Students-First.pdf</w:t>
      </w:r>
    </w:p>
    <w:p w14:paraId="073D2D36" w14:textId="77777777" w:rsidR="00D47147" w:rsidRPr="00BD5912" w:rsidRDefault="00D47147" w:rsidP="00D47147"/>
    <w:p w14:paraId="62E356E0" w14:textId="77777777" w:rsidR="00D47147" w:rsidRPr="00FA21E5" w:rsidRDefault="00D47147" w:rsidP="00D47147">
      <w:pPr>
        <w:rPr>
          <w:rFonts w:eastAsiaTheme="minorEastAsia"/>
        </w:rPr>
      </w:pPr>
      <w:r w:rsidRPr="00FA21E5">
        <w:t xml:space="preserve">Ministry of Training, Colleges and Universities (2012) </w:t>
      </w:r>
      <w:r>
        <w:rPr>
          <w:rFonts w:eastAsiaTheme="minorEastAsia"/>
        </w:rPr>
        <w:t>Backgrounder. Improving Ontario’</w:t>
      </w:r>
      <w:r w:rsidRPr="00FA21E5">
        <w:rPr>
          <w:rFonts w:eastAsiaTheme="minorEastAsia"/>
        </w:rPr>
        <w:t>s postsecondary education and creating jobs. Retrieved 11 February 2014 from</w:t>
      </w:r>
    </w:p>
    <w:p w14:paraId="4688C011" w14:textId="77777777" w:rsidR="00D47147" w:rsidRPr="00FA21E5" w:rsidRDefault="00D47147" w:rsidP="00D47147">
      <w:r w:rsidRPr="00FA21E5">
        <w:t>http://www.tcu.gov.on.ca/eng/document/nr/12.02/bg0201.html</w:t>
      </w:r>
    </w:p>
    <w:p w14:paraId="7AD10BF2" w14:textId="77777777" w:rsidR="00C43231" w:rsidRPr="00E95E1B" w:rsidRDefault="00C43231" w:rsidP="00C43231">
      <w:pPr>
        <w:rPr>
          <w:lang w:val="en-AU"/>
        </w:rPr>
      </w:pPr>
    </w:p>
    <w:p w14:paraId="40C447D6" w14:textId="4504BF93" w:rsidR="00C43231" w:rsidRDefault="00C43231" w:rsidP="00C43231">
      <w:r w:rsidRPr="003F601C">
        <w:t xml:space="preserve">Ministry of Training, Colleges and Universities </w:t>
      </w:r>
      <w:r>
        <w:t xml:space="preserve">(2013a) Ontario’s differentiation policy framework for postsecondary education. </w:t>
      </w:r>
      <w:r w:rsidRPr="003F601C">
        <w:t>Queen’s Printer for Ontario</w:t>
      </w:r>
      <w:r>
        <w:t xml:space="preserve">. Retrieved 10 February 2014 from </w:t>
      </w:r>
      <w:hyperlink r:id="rId32" w:history="1">
        <w:r w:rsidRPr="0027028B">
          <w:t>http://www.tcu.gov.on.ca/pepg/publications/PolicyFramework_PostSec.pdf</w:t>
        </w:r>
      </w:hyperlink>
    </w:p>
    <w:p w14:paraId="44D0015C" w14:textId="77777777" w:rsidR="00C43231" w:rsidRDefault="00C43231" w:rsidP="00D47147">
      <w:pPr>
        <w:rPr>
          <w:lang w:val="en-AU"/>
        </w:rPr>
      </w:pPr>
    </w:p>
    <w:p w14:paraId="74515558" w14:textId="62363448" w:rsidR="00FC425C" w:rsidRPr="00FA21E5" w:rsidRDefault="00FC425C" w:rsidP="00FC425C">
      <w:pPr>
        <w:pStyle w:val="Default"/>
        <w:rPr>
          <w:rFonts w:ascii="Times New Roman" w:hAnsi="Times New Roman" w:cs="Times New Roman"/>
        </w:rPr>
      </w:pPr>
      <w:r w:rsidRPr="00FA21E5">
        <w:rPr>
          <w:rFonts w:ascii="Times New Roman" w:hAnsi="Times New Roman" w:cs="Times New Roman"/>
          <w:iCs/>
        </w:rPr>
        <w:t>Ministry of Training, Colleges and Universities</w:t>
      </w:r>
      <w:r w:rsidRPr="00FA21E5">
        <w:rPr>
          <w:rFonts w:ascii="Times New Roman" w:hAnsi="Times New Roman" w:cs="Times New Roman"/>
        </w:rPr>
        <w:t xml:space="preserve"> (2013</w:t>
      </w:r>
      <w:r w:rsidR="00C43231">
        <w:rPr>
          <w:rFonts w:ascii="Times New Roman" w:hAnsi="Times New Roman" w:cs="Times New Roman"/>
        </w:rPr>
        <w:t>b</w:t>
      </w:r>
      <w:r w:rsidRPr="00FA21E5">
        <w:rPr>
          <w:rFonts w:ascii="Times New Roman" w:hAnsi="Times New Roman" w:cs="Times New Roman"/>
        </w:rPr>
        <w:t>) Major capacity expansion policy framework, Queen’s Printer for Ontario. Retrieved 20 December 2013 from</w:t>
      </w:r>
      <w:r>
        <w:rPr>
          <w:rFonts w:ascii="Times New Roman" w:hAnsi="Times New Roman" w:cs="Times New Roman"/>
        </w:rPr>
        <w:t xml:space="preserve"> </w:t>
      </w:r>
      <w:r w:rsidRPr="00FA21E5">
        <w:rPr>
          <w:rFonts w:ascii="Times New Roman" w:hAnsi="Times New Roman" w:cs="Times New Roman"/>
        </w:rPr>
        <w:t>http://news.ontario.ca/tcu/en/2013/12/guiding-growth-in-ontarios-postsecondary-education-system.html</w:t>
      </w:r>
    </w:p>
    <w:p w14:paraId="39FD6E0F" w14:textId="77777777" w:rsidR="00006091" w:rsidRDefault="00006091" w:rsidP="00006091"/>
    <w:p w14:paraId="4A741954" w14:textId="77777777" w:rsidR="00006091" w:rsidRDefault="00006091" w:rsidP="00006091">
      <w:r w:rsidRPr="003B09B7">
        <w:t xml:space="preserve">Mixed Economy Group </w:t>
      </w:r>
      <w:r>
        <w:t>(</w:t>
      </w:r>
      <w:r w:rsidRPr="003B09B7">
        <w:t>2011</w:t>
      </w:r>
      <w:r>
        <w:t xml:space="preserve">) Members list, retrieved 4 March 2014 from </w:t>
      </w:r>
      <w:r w:rsidRPr="003B09B7">
        <w:t>http://www.mixedeconomygroup.co.uk/our-membership/members-list/</w:t>
      </w:r>
    </w:p>
    <w:p w14:paraId="42267B48" w14:textId="77777777" w:rsidR="005E1E46" w:rsidRDefault="005E1E46" w:rsidP="005E1E46"/>
    <w:p w14:paraId="59544BA7" w14:textId="0EE9F322" w:rsidR="005E1E46" w:rsidRDefault="005E1E46" w:rsidP="005E1E46">
      <w:r>
        <w:t xml:space="preserve">Moodie, Gavin </w:t>
      </w:r>
      <w:r>
        <w:rPr>
          <w:lang w:eastAsia="en-AU"/>
        </w:rPr>
        <w:t xml:space="preserve">(2012) </w:t>
      </w:r>
      <w:r>
        <w:t>[</w:t>
      </w:r>
      <w:r>
        <w:rPr>
          <w:lang w:eastAsia="en-AU"/>
        </w:rPr>
        <w:t xml:space="preserve">2002] Types of Australian universities, retrieved 6 March 2014 from. </w:t>
      </w:r>
      <w:r w:rsidRPr="005E1E46">
        <w:t>https://www.academia.edu/310547/Types_of_Australian_universities</w:t>
      </w:r>
    </w:p>
    <w:p w14:paraId="5C8FEEAB" w14:textId="77777777" w:rsidR="00C544A7" w:rsidRPr="00486476" w:rsidRDefault="00C544A7" w:rsidP="00C544A7">
      <w:pPr>
        <w:shd w:val="clear" w:color="auto" w:fill="FFFFFF"/>
        <w:rPr>
          <w:color w:val="000000" w:themeColor="text1"/>
        </w:rPr>
      </w:pPr>
    </w:p>
    <w:p w14:paraId="18C401CC" w14:textId="77777777" w:rsidR="00C544A7" w:rsidRPr="00486476" w:rsidRDefault="00C544A7" w:rsidP="003F6A05">
      <w:pPr>
        <w:autoSpaceDE w:val="0"/>
        <w:autoSpaceDN w:val="0"/>
        <w:adjustRightInd w:val="0"/>
        <w:rPr>
          <w:color w:val="000000" w:themeColor="text1"/>
        </w:rPr>
      </w:pPr>
      <w:r w:rsidRPr="00486476">
        <w:rPr>
          <w:color w:val="000000" w:themeColor="text1"/>
        </w:rPr>
        <w:t xml:space="preserve">Moodie, Gavin (accepted) How different are higher education institutions in the UK, US and Australia? The significance of government involvement. </w:t>
      </w:r>
      <w:r w:rsidRPr="00486476">
        <w:rPr>
          <w:i/>
          <w:color w:val="000000" w:themeColor="text1"/>
        </w:rPr>
        <w:t>Higher Education Quarterly</w:t>
      </w:r>
      <w:r w:rsidRPr="00486476">
        <w:rPr>
          <w:color w:val="000000" w:themeColor="text1"/>
        </w:rPr>
        <w:t>.</w:t>
      </w:r>
    </w:p>
    <w:p w14:paraId="1590A7DE" w14:textId="77777777" w:rsidR="00F74742" w:rsidRDefault="00F74742" w:rsidP="00C544A7">
      <w:pPr>
        <w:pStyle w:val="NormalWeb"/>
        <w:shd w:val="clear" w:color="auto" w:fill="FFFFFF"/>
        <w:spacing w:before="0" w:beforeAutospacing="0" w:after="0" w:afterAutospacing="0"/>
        <w:rPr>
          <w:color w:val="000000"/>
        </w:rPr>
      </w:pPr>
    </w:p>
    <w:p w14:paraId="6984B87A" w14:textId="77777777" w:rsidR="00F74742" w:rsidRPr="00F74742" w:rsidRDefault="00F74742" w:rsidP="00F74742">
      <w:pPr>
        <w:pStyle w:val="NormalWeb"/>
        <w:shd w:val="clear" w:color="auto" w:fill="FFFFFF"/>
        <w:spacing w:before="0" w:beforeAutospacing="0" w:after="0" w:afterAutospacing="0"/>
        <w:rPr>
          <w:color w:val="000000"/>
        </w:rPr>
      </w:pPr>
      <w:r w:rsidRPr="00F74742">
        <w:rPr>
          <w:color w:val="000000"/>
        </w:rPr>
        <w:t>Natural Sciences and Engineering Research Council of Canada (2014) Partnerships programs overview</w:t>
      </w:r>
      <w:r>
        <w:rPr>
          <w:color w:val="000000"/>
        </w:rPr>
        <w:t xml:space="preserve">, retrieved 4 March 2014 from </w:t>
      </w:r>
      <w:r w:rsidRPr="00F74742">
        <w:rPr>
          <w:color w:val="000000"/>
        </w:rPr>
        <w:t>http://www.nserc-crsng.gc.ca/Professors-Professeurs/RPP-PP/index_eng.asp#CCI</w:t>
      </w:r>
    </w:p>
    <w:p w14:paraId="1E8549E4" w14:textId="77777777" w:rsidR="007C536B" w:rsidRPr="0024500F" w:rsidRDefault="007C536B" w:rsidP="007C536B"/>
    <w:p w14:paraId="7A706BFE" w14:textId="77777777" w:rsidR="007C536B" w:rsidRPr="0024500F" w:rsidRDefault="007C536B" w:rsidP="007C536B">
      <w:r w:rsidRPr="0024500F">
        <w:t>Norton, Andrew (2013) Keep the caps off, Grattan Institute, Carlton, retrieved 7 August 2013 from</w:t>
      </w:r>
      <w:r>
        <w:t xml:space="preserve"> </w:t>
      </w:r>
      <w:hyperlink r:id="rId33" w:history="1">
        <w:r w:rsidRPr="0024500F">
          <w:t>http://grattan.edu.au/publications/reports/post/keep-the-caps-off/</w:t>
        </w:r>
      </w:hyperlink>
    </w:p>
    <w:p w14:paraId="745F4CA8" w14:textId="77777777" w:rsidR="00D178F2" w:rsidRPr="007D58BF" w:rsidRDefault="00D178F2" w:rsidP="00D178F2"/>
    <w:p w14:paraId="070CCEC8" w14:textId="77777777" w:rsidR="00D178F2" w:rsidRPr="007D58BF" w:rsidRDefault="00D178F2" w:rsidP="00D178F2">
      <w:r w:rsidRPr="007D58BF">
        <w:t>OECD (2013)</w:t>
      </w:r>
      <w:r>
        <w:t xml:space="preserve"> </w:t>
      </w:r>
      <w:r w:rsidRPr="007D58BF">
        <w:rPr>
          <w:i/>
        </w:rPr>
        <w:t>Education at a Glance. OECD Indicators 2013</w:t>
      </w:r>
      <w:r>
        <w:t xml:space="preserve">, retrieved 26 June 2013 from </w:t>
      </w:r>
    </w:p>
    <w:p w14:paraId="11658AFA" w14:textId="77777777" w:rsidR="00D178F2" w:rsidRPr="007D58BF" w:rsidRDefault="00805DE9" w:rsidP="00D178F2">
      <w:hyperlink r:id="rId34" w:history="1">
        <w:r w:rsidR="00D178F2" w:rsidRPr="007D58BF">
          <w:t>http://www.oecd.org/edu/eag.htm</w:t>
        </w:r>
      </w:hyperlink>
    </w:p>
    <w:p w14:paraId="753E7494" w14:textId="77777777" w:rsidR="009A2025" w:rsidRPr="00C75E95" w:rsidRDefault="009A2025" w:rsidP="009A2025"/>
    <w:p w14:paraId="780B4B85" w14:textId="77777777" w:rsidR="009A2025" w:rsidRPr="00C75E95" w:rsidRDefault="009A2025" w:rsidP="009A2025">
      <w:pPr>
        <w:autoSpaceDE w:val="0"/>
        <w:autoSpaceDN w:val="0"/>
        <w:adjustRightInd w:val="0"/>
      </w:pPr>
      <w:r w:rsidRPr="00C75E95">
        <w:t xml:space="preserve">Przeworski, A and Teune, H (1970) </w:t>
      </w:r>
      <w:r w:rsidRPr="00C75E95">
        <w:rPr>
          <w:i/>
          <w:iCs/>
        </w:rPr>
        <w:t xml:space="preserve">The </w:t>
      </w:r>
      <w:r>
        <w:rPr>
          <w:i/>
          <w:iCs/>
        </w:rPr>
        <w:t>l</w:t>
      </w:r>
      <w:r w:rsidRPr="00C75E95">
        <w:rPr>
          <w:i/>
          <w:iCs/>
        </w:rPr>
        <w:t xml:space="preserve">ogic of </w:t>
      </w:r>
      <w:r>
        <w:rPr>
          <w:i/>
          <w:iCs/>
        </w:rPr>
        <w:t>c</w:t>
      </w:r>
      <w:r w:rsidRPr="00C75E95">
        <w:rPr>
          <w:i/>
          <w:iCs/>
        </w:rPr>
        <w:t xml:space="preserve">omparative </w:t>
      </w:r>
      <w:r>
        <w:rPr>
          <w:i/>
          <w:iCs/>
        </w:rPr>
        <w:t>s</w:t>
      </w:r>
      <w:r w:rsidRPr="00C75E95">
        <w:rPr>
          <w:i/>
          <w:iCs/>
        </w:rPr>
        <w:t xml:space="preserve">ocial </w:t>
      </w:r>
      <w:r>
        <w:rPr>
          <w:i/>
          <w:iCs/>
        </w:rPr>
        <w:t>i</w:t>
      </w:r>
      <w:r w:rsidRPr="00C75E95">
        <w:rPr>
          <w:i/>
          <w:iCs/>
        </w:rPr>
        <w:t>nquiry</w:t>
      </w:r>
      <w:r>
        <w:rPr>
          <w:iCs/>
        </w:rPr>
        <w:t xml:space="preserve">, </w:t>
      </w:r>
      <w:r w:rsidRPr="00C75E95">
        <w:t>Wiley-Interscience</w:t>
      </w:r>
      <w:r>
        <w:t xml:space="preserve">, </w:t>
      </w:r>
      <w:r w:rsidRPr="00C75E95">
        <w:t>New York.</w:t>
      </w:r>
    </w:p>
    <w:p w14:paraId="4083DFEF" w14:textId="77777777" w:rsidR="00F254EB" w:rsidRPr="00210232" w:rsidRDefault="00F254EB" w:rsidP="00F254EB">
      <w:pPr>
        <w:rPr>
          <w:rStyle w:val="Hyperlink"/>
          <w:color w:val="000000" w:themeColor="text1"/>
          <w:u w:val="none"/>
          <w:lang w:eastAsia="en-AU"/>
        </w:rPr>
      </w:pPr>
    </w:p>
    <w:p w14:paraId="1E32BD40" w14:textId="77777777" w:rsidR="00F254EB" w:rsidRPr="00210232" w:rsidRDefault="00F254EB" w:rsidP="00F254EB">
      <w:pPr>
        <w:rPr>
          <w:rStyle w:val="Hyperlink"/>
          <w:color w:val="000000" w:themeColor="text1"/>
          <w:u w:val="none"/>
          <w:lang w:eastAsia="en-AU"/>
        </w:rPr>
      </w:pPr>
      <w:r w:rsidRPr="00210232">
        <w:rPr>
          <w:rStyle w:val="Hyperlink"/>
          <w:color w:val="000000" w:themeColor="text1"/>
          <w:u w:val="none"/>
          <w:lang w:eastAsia="en-AU"/>
        </w:rPr>
        <w:t>Pyne, Christopher (2013) Coalition announces review of the demand driven system</w:t>
      </w:r>
      <w:r w:rsidRPr="00AF561F">
        <w:rPr>
          <w:rStyle w:val="Hyperlink"/>
          <w:color w:val="000000" w:themeColor="text1"/>
          <w:u w:val="none"/>
          <w:lang w:eastAsia="en-AU"/>
        </w:rPr>
        <w:t xml:space="preserve">, </w:t>
      </w:r>
      <w:r>
        <w:rPr>
          <w:rStyle w:val="Hyperlink"/>
          <w:color w:val="000000" w:themeColor="text1"/>
          <w:u w:val="none"/>
          <w:lang w:eastAsia="en-AU"/>
        </w:rPr>
        <w:t>retrieved 5 March 2014</w:t>
      </w:r>
      <w:r w:rsidRPr="00AF561F">
        <w:rPr>
          <w:rStyle w:val="Hyperlink"/>
          <w:color w:val="000000" w:themeColor="text1"/>
          <w:u w:val="none"/>
          <w:lang w:eastAsia="en-AU"/>
        </w:rPr>
        <w:t xml:space="preserve"> from</w:t>
      </w:r>
      <w:r>
        <w:rPr>
          <w:rStyle w:val="Hyperlink"/>
          <w:color w:val="000000" w:themeColor="text1"/>
          <w:u w:val="none"/>
          <w:lang w:eastAsia="en-AU"/>
        </w:rPr>
        <w:t xml:space="preserve"> </w:t>
      </w:r>
      <w:r w:rsidRPr="00F254EB">
        <w:rPr>
          <w:rStyle w:val="Hyperlink"/>
          <w:color w:val="000000" w:themeColor="text1"/>
          <w:u w:val="none"/>
          <w:lang w:eastAsia="en-AU"/>
        </w:rPr>
        <w:t>http://ministers.education.gov.au/pyne/coalition-announces-review-demand-driven-system</w:t>
      </w:r>
    </w:p>
    <w:p w14:paraId="274F478A" w14:textId="77777777" w:rsidR="00DD4265" w:rsidRDefault="00DD4265" w:rsidP="00DD4265"/>
    <w:p w14:paraId="4E0E7A9B" w14:textId="2A9801D9" w:rsidR="00DD4265" w:rsidRDefault="00DD4265" w:rsidP="00DD4265">
      <w:r>
        <w:t xml:space="preserve">Rae, Bob (chair) (2005) </w:t>
      </w:r>
      <w:hyperlink r:id="rId35" w:tgtFrame="_new" w:history="1">
        <w:r w:rsidRPr="00EE2267">
          <w:rPr>
            <w:rFonts w:eastAsiaTheme="minorEastAsia"/>
            <w:i/>
          </w:rPr>
          <w:t xml:space="preserve">Ontario: </w:t>
        </w:r>
        <w:r w:rsidRPr="00EE2267">
          <w:rPr>
            <w:i/>
          </w:rPr>
          <w:t>A leader in learning: report &amp; r</w:t>
        </w:r>
        <w:r w:rsidRPr="00EE2267">
          <w:rPr>
            <w:rFonts w:eastAsiaTheme="minorEastAsia"/>
            <w:i/>
          </w:rPr>
          <w:t>ecommendations</w:t>
        </w:r>
      </w:hyperlink>
      <w:r w:rsidRPr="00EE2267">
        <w:rPr>
          <w:rFonts w:eastAsiaTheme="minorEastAsia"/>
        </w:rPr>
        <w:t xml:space="preserve"> of the postsecondary review. Queens Printer for Ontario. Retrieved 11 February 2014 from</w:t>
      </w:r>
      <w:r>
        <w:t xml:space="preserve"> </w:t>
      </w:r>
      <w:r w:rsidRPr="004B3472">
        <w:t>http://www.crr.ca/en/policy-a-research/crrf-research-reports/252-post-secondary-ps/22243-ontario-a-leader-in-learning-report-a-recommendations</w:t>
      </w:r>
    </w:p>
    <w:p w14:paraId="10BF0B2E" w14:textId="77777777" w:rsidR="005B4D1E" w:rsidRDefault="005B4D1E" w:rsidP="005B4D1E">
      <w:pPr>
        <w:pStyle w:val="Default"/>
        <w:rPr>
          <w:rStyle w:val="A3"/>
          <w:rFonts w:ascii="Times New Roman" w:hAnsi="Times New Roman" w:cs="Times New Roman"/>
          <w:b w:val="0"/>
          <w:sz w:val="24"/>
          <w:szCs w:val="24"/>
        </w:rPr>
      </w:pPr>
    </w:p>
    <w:p w14:paraId="0E6F2488" w14:textId="77777777" w:rsidR="00BA0C70" w:rsidRPr="00B603A1" w:rsidRDefault="00BA0C70" w:rsidP="005B4D1E">
      <w:pPr>
        <w:pStyle w:val="Default"/>
        <w:rPr>
          <w:rStyle w:val="A3"/>
          <w:rFonts w:ascii="Times New Roman" w:hAnsi="Times New Roman" w:cs="Times New Roman"/>
          <w:b w:val="0"/>
          <w:sz w:val="24"/>
          <w:szCs w:val="24"/>
        </w:rPr>
      </w:pPr>
    </w:p>
    <w:p w14:paraId="0C1C98FD" w14:textId="77777777" w:rsidR="005B4D1E" w:rsidRPr="00B603A1" w:rsidRDefault="005B4D1E" w:rsidP="005B4D1E">
      <w:pPr>
        <w:pStyle w:val="Default"/>
        <w:rPr>
          <w:rStyle w:val="A3"/>
          <w:rFonts w:ascii="Times New Roman" w:hAnsi="Times New Roman" w:cs="Times New Roman"/>
          <w:b w:val="0"/>
          <w:sz w:val="24"/>
          <w:szCs w:val="24"/>
        </w:rPr>
      </w:pPr>
      <w:r w:rsidRPr="00B603A1">
        <w:rPr>
          <w:rStyle w:val="A3"/>
          <w:rFonts w:ascii="Times New Roman" w:hAnsi="Times New Roman" w:cs="Times New Roman"/>
          <w:b w:val="0"/>
          <w:sz w:val="24"/>
          <w:szCs w:val="24"/>
        </w:rPr>
        <w:t xml:space="preserve">Thompson, John and Bekhradnia, Bahram (2013) </w:t>
      </w:r>
      <w:hyperlink r:id="rId36" w:history="1">
        <w:r w:rsidRPr="00B603A1">
          <w:rPr>
            <w:rStyle w:val="A3"/>
            <w:rFonts w:ascii="Times New Roman" w:hAnsi="Times New Roman" w:cs="Times New Roman"/>
            <w:b w:val="0"/>
            <w:sz w:val="24"/>
            <w:szCs w:val="24"/>
          </w:rPr>
          <w:t>The cost of the Government's reforms of the financing of higher education - an update</w:t>
        </w:r>
      </w:hyperlink>
      <w:r w:rsidRPr="00B603A1">
        <w:rPr>
          <w:rStyle w:val="A3"/>
          <w:rFonts w:ascii="Times New Roman" w:hAnsi="Times New Roman" w:cs="Times New Roman"/>
          <w:b w:val="0"/>
          <w:sz w:val="24"/>
          <w:szCs w:val="24"/>
        </w:rPr>
        <w:t>. Higher Education Policy Institute, Oxford. Accessed 6 March 2014 from http://www.hepi.ac.uk/466-2246/The-cost-of-the-Government's-reforms-of-the-financing-of-higher-education---an-update.html</w:t>
      </w:r>
    </w:p>
    <w:p w14:paraId="4025DB01" w14:textId="77777777" w:rsidR="005B4D1E" w:rsidRPr="00B603A1" w:rsidRDefault="005B4D1E" w:rsidP="005B4D1E">
      <w:pPr>
        <w:pStyle w:val="Default"/>
        <w:rPr>
          <w:rStyle w:val="A3"/>
          <w:rFonts w:ascii="Times New Roman" w:hAnsi="Times New Roman" w:cs="Times New Roman"/>
          <w:b w:val="0"/>
          <w:sz w:val="24"/>
          <w:szCs w:val="24"/>
        </w:rPr>
      </w:pPr>
    </w:p>
    <w:p w14:paraId="074F9EF1" w14:textId="77777777" w:rsidR="005B4D1E" w:rsidRPr="00B603A1" w:rsidRDefault="005B4D1E" w:rsidP="005B4D1E">
      <w:pPr>
        <w:pStyle w:val="Default"/>
        <w:rPr>
          <w:rStyle w:val="A3"/>
          <w:rFonts w:ascii="Times New Roman" w:hAnsi="Times New Roman" w:cs="Times New Roman"/>
          <w:b w:val="0"/>
          <w:sz w:val="24"/>
          <w:szCs w:val="24"/>
        </w:rPr>
      </w:pPr>
      <w:r w:rsidRPr="00B603A1">
        <w:rPr>
          <w:rStyle w:val="A3"/>
          <w:rFonts w:ascii="Times New Roman" w:hAnsi="Times New Roman" w:cs="Times New Roman"/>
          <w:b w:val="0"/>
          <w:sz w:val="24"/>
          <w:szCs w:val="24"/>
        </w:rPr>
        <w:t>Thompson, John and Bekhradnia, Bahram (2012) The cost of the Government’s reforms of the financing of higher education, Higher Education Policy Institute, Oxford. Accessed 6 March 2014 from http://www.hepi.ac.uk/466-2094/The-cost-of-the-Government%E2%80%99s-reforms-of-the-financing-of-higher-education.html</w:t>
      </w:r>
    </w:p>
    <w:p w14:paraId="11FCB4D3" w14:textId="77777777" w:rsidR="00662050" w:rsidRPr="00662050" w:rsidRDefault="00662050" w:rsidP="00662050">
      <w:pPr>
        <w:autoSpaceDE w:val="0"/>
        <w:autoSpaceDN w:val="0"/>
        <w:adjustRightInd w:val="0"/>
        <w:ind w:firstLine="120"/>
        <w:rPr>
          <w:color w:val="000000" w:themeColor="text1"/>
          <w:lang w:eastAsia="en-US"/>
        </w:rPr>
      </w:pPr>
    </w:p>
    <w:p w14:paraId="26B1B408" w14:textId="724668A2" w:rsidR="00662050" w:rsidRPr="00662050" w:rsidRDefault="00662050" w:rsidP="00662050">
      <w:pPr>
        <w:widowControl w:val="0"/>
        <w:autoSpaceDE w:val="0"/>
        <w:autoSpaceDN w:val="0"/>
        <w:adjustRightInd w:val="0"/>
        <w:rPr>
          <w:color w:val="000000" w:themeColor="text1"/>
        </w:rPr>
      </w:pPr>
      <w:r>
        <w:rPr>
          <w:color w:val="000000" w:themeColor="text1"/>
        </w:rPr>
        <w:t>Teixeira, P N</w:t>
      </w:r>
      <w:r w:rsidRPr="00662050">
        <w:rPr>
          <w:color w:val="000000" w:themeColor="text1"/>
        </w:rPr>
        <w:t>,</w:t>
      </w:r>
      <w:r>
        <w:rPr>
          <w:color w:val="000000" w:themeColor="text1"/>
        </w:rPr>
        <w:t xml:space="preserve"> Rocha, V, Biscaia, R</w:t>
      </w:r>
      <w:r w:rsidRPr="00662050">
        <w:rPr>
          <w:color w:val="000000" w:themeColor="text1"/>
        </w:rPr>
        <w:t xml:space="preserve"> and </w:t>
      </w:r>
      <w:r>
        <w:rPr>
          <w:color w:val="000000" w:themeColor="text1"/>
        </w:rPr>
        <w:t>Cardoso, M F</w:t>
      </w:r>
      <w:r w:rsidRPr="00662050">
        <w:rPr>
          <w:color w:val="000000" w:themeColor="text1"/>
        </w:rPr>
        <w:t xml:space="preserve"> (2012) Competition and diversity in higher education: an empirical approach to specialization patterns of Portuguese institutions. </w:t>
      </w:r>
      <w:r w:rsidRPr="00662050">
        <w:rPr>
          <w:i/>
          <w:color w:val="000000" w:themeColor="text1"/>
        </w:rPr>
        <w:t>Higher Education</w:t>
      </w:r>
      <w:r w:rsidR="00C76F34">
        <w:rPr>
          <w:color w:val="000000" w:themeColor="text1"/>
        </w:rPr>
        <w:t xml:space="preserve">, 63 (3), pages </w:t>
      </w:r>
      <w:r w:rsidRPr="00662050">
        <w:rPr>
          <w:color w:val="000000" w:themeColor="text1"/>
        </w:rPr>
        <w:t>337–352.</w:t>
      </w:r>
    </w:p>
    <w:p w14:paraId="1C8279EE" w14:textId="77777777" w:rsidR="00DD4265" w:rsidRPr="00662050" w:rsidRDefault="00DD4265" w:rsidP="00DD4265">
      <w:pPr>
        <w:rPr>
          <w:color w:val="000000" w:themeColor="text1"/>
        </w:rPr>
      </w:pPr>
    </w:p>
    <w:p w14:paraId="37036692" w14:textId="081F7F5A" w:rsidR="006825A3" w:rsidRPr="006825A3" w:rsidRDefault="006825A3" w:rsidP="006825A3">
      <w:pPr>
        <w:widowControl w:val="0"/>
        <w:autoSpaceDE w:val="0"/>
        <w:autoSpaceDN w:val="0"/>
        <w:adjustRightInd w:val="0"/>
        <w:rPr>
          <w:rStyle w:val="A3"/>
          <w:rFonts w:cs="Times New Roman"/>
          <w:b w:val="0"/>
          <w:bCs w:val="0"/>
          <w:sz w:val="24"/>
          <w:szCs w:val="24"/>
          <w:lang w:eastAsia="en-US"/>
        </w:rPr>
      </w:pPr>
      <w:r w:rsidRPr="00BC4E6C">
        <w:rPr>
          <w:color w:val="000000"/>
          <w:lang w:eastAsia="en-US"/>
        </w:rPr>
        <w:t>Trick, David (2013) College-to-university transfer arrangements and undergraduate education: Ontario in a national and international context. Toronto: Higher Education Quality Council of Ontario. Retrieved 4 December 2013 from</w:t>
      </w:r>
      <w:r>
        <w:rPr>
          <w:color w:val="000000"/>
          <w:lang w:eastAsia="en-US"/>
        </w:rPr>
        <w:t xml:space="preserve"> </w:t>
      </w:r>
      <w:hyperlink r:id="rId37" w:history="1">
        <w:r w:rsidRPr="006825A3">
          <w:rPr>
            <w:color w:val="000000"/>
            <w:lang w:eastAsia="en-US"/>
          </w:rPr>
          <w:t>http://www.heqco.ca/en-CA/Research/Research%20Publications/Pages/Summary.aspx?link=91</w:t>
        </w:r>
      </w:hyperlink>
    </w:p>
    <w:p w14:paraId="0793AC5D" w14:textId="77777777" w:rsidR="006825A3" w:rsidRDefault="006825A3" w:rsidP="00DD4265"/>
    <w:p w14:paraId="2CDDE641" w14:textId="77777777" w:rsidR="003E55F9" w:rsidRPr="00797771" w:rsidRDefault="003E55F9" w:rsidP="003E55F9">
      <w:r w:rsidRPr="00797771">
        <w:t xml:space="preserve">Trow, Martin (1973) Problems in the transition from elite to mass higher education, Carnegie Commission on Higher Education, Berkeley, retrieved 1 August 2013 from </w:t>
      </w:r>
      <w:hyperlink r:id="rId38" w:history="1">
        <w:r w:rsidRPr="00797771">
          <w:t>http://www.eric.ed.gov/ERICWebPortal/search/detailmini.jsp?_nfpb=true&amp;_&amp;ERICExtSearch_SearchValue_0=ED091983&amp;ERICExtSearch_SearchType_0=no&amp;accno=ED091983</w:t>
        </w:r>
      </w:hyperlink>
    </w:p>
    <w:p w14:paraId="50CB9AB8" w14:textId="77777777" w:rsidR="00F731F2" w:rsidRPr="00F731F2" w:rsidRDefault="00F731F2" w:rsidP="00F731F2">
      <w:pPr>
        <w:pStyle w:val="Default"/>
        <w:rPr>
          <w:rStyle w:val="A3"/>
          <w:rFonts w:ascii="Times New Roman" w:hAnsi="Times New Roman" w:cs="Times New Roman"/>
          <w:b w:val="0"/>
          <w:sz w:val="24"/>
          <w:szCs w:val="24"/>
        </w:rPr>
      </w:pPr>
    </w:p>
    <w:p w14:paraId="2DFB5E4F" w14:textId="77777777" w:rsidR="00F731F2" w:rsidRPr="00F731F2" w:rsidRDefault="00F731F2" w:rsidP="00F731F2">
      <w:pPr>
        <w:pStyle w:val="Default"/>
        <w:rPr>
          <w:rStyle w:val="A3"/>
          <w:rFonts w:ascii="Times New Roman" w:hAnsi="Times New Roman" w:cs="Times New Roman"/>
          <w:b w:val="0"/>
          <w:sz w:val="24"/>
          <w:szCs w:val="24"/>
        </w:rPr>
      </w:pPr>
      <w:r w:rsidRPr="00F731F2">
        <w:rPr>
          <w:rStyle w:val="A3"/>
          <w:rFonts w:ascii="Times New Roman" w:hAnsi="Times New Roman" w:cs="Times New Roman"/>
          <w:b w:val="0"/>
          <w:sz w:val="24"/>
          <w:szCs w:val="24"/>
        </w:rPr>
        <w:t xml:space="preserve">Trow, Martin (2005) Reflections on the transition from elite to mass to universal access: forms and phases of higher education in modern societies since WWII, in Philip Altbach (editor) </w:t>
      </w:r>
      <w:r w:rsidRPr="00F731F2">
        <w:rPr>
          <w:rStyle w:val="A3"/>
          <w:rFonts w:ascii="Times New Roman" w:hAnsi="Times New Roman" w:cs="Times New Roman"/>
          <w:b w:val="0"/>
          <w:i/>
          <w:sz w:val="24"/>
          <w:szCs w:val="24"/>
        </w:rPr>
        <w:t>Springer international handbooks of higher education</w:t>
      </w:r>
      <w:r>
        <w:rPr>
          <w:rStyle w:val="A3"/>
          <w:rFonts w:ascii="Times New Roman" w:hAnsi="Times New Roman" w:cs="Times New Roman"/>
          <w:b w:val="0"/>
          <w:sz w:val="24"/>
          <w:szCs w:val="24"/>
        </w:rPr>
        <w:t>, volume 18, pages 243-280</w:t>
      </w:r>
      <w:r w:rsidRPr="00F731F2">
        <w:rPr>
          <w:rStyle w:val="A3"/>
          <w:rFonts w:ascii="Times New Roman" w:hAnsi="Times New Roman" w:cs="Times New Roman"/>
          <w:b w:val="0"/>
          <w:sz w:val="24"/>
          <w:szCs w:val="24"/>
        </w:rPr>
        <w:t>.</w:t>
      </w:r>
    </w:p>
    <w:p w14:paraId="273728E1" w14:textId="77777777" w:rsidR="008F59F1" w:rsidRDefault="008F59F1" w:rsidP="008F59F1"/>
    <w:p w14:paraId="7E6FEF2A" w14:textId="0A27F4B7" w:rsidR="008F59F1" w:rsidRPr="0010305E" w:rsidRDefault="008F59F1" w:rsidP="008F59F1">
      <w:r w:rsidRPr="0010305E">
        <w:t xml:space="preserve">Weingarten, Harvey P and Deller, Fiona (2010) The </w:t>
      </w:r>
      <w:r>
        <w:t>b</w:t>
      </w:r>
      <w:r w:rsidRPr="0010305E">
        <w:t xml:space="preserve">enefits of </w:t>
      </w:r>
      <w:r>
        <w:t>g</w:t>
      </w:r>
      <w:r w:rsidRPr="0010305E">
        <w:t xml:space="preserve">reater </w:t>
      </w:r>
      <w:r>
        <w:t>d</w:t>
      </w:r>
      <w:r w:rsidRPr="0010305E">
        <w:t xml:space="preserve">ifferentiation of Ontario’s </w:t>
      </w:r>
      <w:r>
        <w:t>u</w:t>
      </w:r>
      <w:r w:rsidRPr="0010305E">
        <w:t xml:space="preserve">niversity </w:t>
      </w:r>
      <w:r>
        <w:t>s</w:t>
      </w:r>
      <w:r w:rsidRPr="0010305E">
        <w:t xml:space="preserve">ector. Final report, Higher Education Quality Council of Ontario, Toronto, retrieved 24 July 2013 from </w:t>
      </w:r>
      <w:hyperlink r:id="rId39" w:history="1">
        <w:r w:rsidRPr="0010305E">
          <w:t>http://heqco.ca/en-ca/research/research%20publications/Pages/Summary.aspx?link=62&amp;title=The%20Benefits%20of%20Greater%20Differentiation%20of%20Ontario%E2%80%99s%20University%20Sector</w:t>
        </w:r>
      </w:hyperlink>
    </w:p>
    <w:p w14:paraId="16B48355" w14:textId="77777777" w:rsidR="00BE185D" w:rsidRDefault="00BE185D" w:rsidP="00D47147">
      <w:pPr>
        <w:rPr>
          <w:lang w:val="en-AU"/>
        </w:rPr>
      </w:pPr>
    </w:p>
    <w:p w14:paraId="67D3EADF" w14:textId="5CBA2F56" w:rsidR="00274370" w:rsidRDefault="00274370" w:rsidP="00D47147">
      <w:r>
        <w:t>Weingarten, Harvey P</w:t>
      </w:r>
      <w:r w:rsidRPr="00265C0F">
        <w:t>, Hicks, Martin, Jonker</w:t>
      </w:r>
      <w:r>
        <w:t>, Linda, and Liu, Shuping (2013)</w:t>
      </w:r>
      <w:r w:rsidRPr="00265C0F">
        <w:t xml:space="preserve"> The diversity of Ontario’s universities: a data set to inform the differentiation discussion, Higher Education Quality Council of Ontario, Toronto, retrieved 24 July 2013 from</w:t>
      </w:r>
      <w:r>
        <w:t xml:space="preserve"> </w:t>
      </w:r>
      <w:hyperlink r:id="rId40" w:history="1">
        <w:r w:rsidRPr="00265C0F">
          <w:t>http://www.heqco.ca/en-CA/Research/Research%20Publications/Pages/Summary.aspx?link=108</w:t>
        </w:r>
      </w:hyperlink>
    </w:p>
    <w:p w14:paraId="61508C95" w14:textId="77777777" w:rsidR="00274370" w:rsidRDefault="00274370" w:rsidP="00D47147">
      <w:pPr>
        <w:rPr>
          <w:lang w:val="en-AU"/>
        </w:rPr>
      </w:pPr>
    </w:p>
    <w:p w14:paraId="5B3A2DEB" w14:textId="77777777" w:rsidR="005D41AC" w:rsidRDefault="005D41AC" w:rsidP="00D47147">
      <w:pPr>
        <w:rPr>
          <w:lang w:val="en-AU"/>
        </w:rPr>
      </w:pPr>
    </w:p>
    <w:p w14:paraId="466D1A7A" w14:textId="51FE0ADD" w:rsidR="005D41AC" w:rsidRPr="009D6AD8" w:rsidRDefault="0037585E" w:rsidP="005D41AC">
      <w:r>
        <w:t>10</w:t>
      </w:r>
      <w:r w:rsidR="005D41AC">
        <w:t xml:space="preserve"> March 2014</w:t>
      </w:r>
    </w:p>
    <w:p w14:paraId="620073F3" w14:textId="77777777" w:rsidR="005D41AC" w:rsidRPr="00F001A5" w:rsidRDefault="005D41AC" w:rsidP="00D47147">
      <w:pPr>
        <w:rPr>
          <w:lang w:val="en-AU"/>
        </w:rPr>
      </w:pPr>
    </w:p>
    <w:sectPr w:rsidR="005D41AC" w:rsidRPr="00F001A5" w:rsidSect="00F1414F">
      <w:footerReference w:type="even" r:id="rId41"/>
      <w:footerReference w:type="default" r:id="rId42"/>
      <w:footerReference w:type="first" r:id="rId43"/>
      <w:pgSz w:w="12240" w:h="15840"/>
      <w:pgMar w:top="964" w:right="1361"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D5E91" w14:textId="77777777" w:rsidR="00805DE9" w:rsidRDefault="00805DE9" w:rsidP="00F1414F">
      <w:r>
        <w:separator/>
      </w:r>
    </w:p>
  </w:endnote>
  <w:endnote w:type="continuationSeparator" w:id="0">
    <w:p w14:paraId="3EBA2492" w14:textId="77777777" w:rsidR="00805DE9" w:rsidRDefault="00805DE9" w:rsidP="00F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umanist 77 7 BT">
    <w:altName w:val="Times New Roman"/>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merican Typewriter">
    <w:charset w:val="00"/>
    <w:family w:val="auto"/>
    <w:pitch w:val="variable"/>
    <w:sig w:usb0="A000006F" w:usb1="00000019"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D0F8" w14:textId="77777777" w:rsidR="00322463" w:rsidRDefault="00322463" w:rsidP="00F14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9A701" w14:textId="77777777" w:rsidR="00322463" w:rsidRDefault="00322463" w:rsidP="00F141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B578" w14:textId="05D065D5" w:rsidR="00322463" w:rsidRDefault="00322463" w:rsidP="00F1414F">
    <w:pPr>
      <w:pStyle w:val="Footer"/>
      <w:pBdr>
        <w:bottom w:val="single" w:sz="12" w:space="1" w:color="auto"/>
      </w:pBdr>
      <w:ind w:right="360"/>
      <w:rPr>
        <w:rStyle w:val="PageNumber"/>
      </w:rPr>
    </w:pPr>
  </w:p>
  <w:p w14:paraId="65EE42C8" w14:textId="570A2284" w:rsidR="00322463" w:rsidRPr="00D33F19" w:rsidRDefault="00322463" w:rsidP="00D33F19">
    <w:pPr>
      <w:pStyle w:val="Footer"/>
      <w:tabs>
        <w:tab w:val="clear" w:pos="4320"/>
        <w:tab w:val="clear" w:pos="8640"/>
        <w:tab w:val="center" w:pos="3686"/>
        <w:tab w:val="right" w:pos="9214"/>
      </w:tabs>
      <w:ind w:right="-37"/>
      <w:rPr>
        <w:i/>
        <w:sz w:val="22"/>
        <w:szCs w:val="22"/>
      </w:rPr>
    </w:pPr>
    <w:r w:rsidRPr="00950FAC">
      <w:rPr>
        <w:rStyle w:val="PageNumber"/>
        <w:sz w:val="22"/>
        <w:szCs w:val="22"/>
      </w:rPr>
      <w:t>Gavin Moodie</w:t>
    </w:r>
    <w:r w:rsidRPr="00D33F19">
      <w:rPr>
        <w:rStyle w:val="PageNumber"/>
        <w:i/>
        <w:sz w:val="22"/>
        <w:szCs w:val="22"/>
      </w:rPr>
      <w:tab/>
    </w:r>
    <w:r w:rsidRPr="00B83978">
      <w:rPr>
        <w:rStyle w:val="PageNumber"/>
        <w:sz w:val="22"/>
        <w:szCs w:val="22"/>
      </w:rPr>
      <w:fldChar w:fldCharType="begin"/>
    </w:r>
    <w:r w:rsidRPr="00B83978">
      <w:rPr>
        <w:rStyle w:val="PageNumber"/>
        <w:sz w:val="22"/>
        <w:szCs w:val="22"/>
      </w:rPr>
      <w:instrText xml:space="preserve"> PAGE </w:instrText>
    </w:r>
    <w:r w:rsidRPr="00B83978">
      <w:rPr>
        <w:rStyle w:val="PageNumber"/>
        <w:sz w:val="22"/>
        <w:szCs w:val="22"/>
      </w:rPr>
      <w:fldChar w:fldCharType="separate"/>
    </w:r>
    <w:r w:rsidR="006E4F64">
      <w:rPr>
        <w:rStyle w:val="PageNumber"/>
        <w:noProof/>
        <w:sz w:val="22"/>
        <w:szCs w:val="22"/>
      </w:rPr>
      <w:t>20</w:t>
    </w:r>
    <w:r w:rsidRPr="00B83978">
      <w:rPr>
        <w:rStyle w:val="PageNumber"/>
        <w:sz w:val="22"/>
        <w:szCs w:val="22"/>
      </w:rPr>
      <w:fldChar w:fldCharType="end"/>
    </w:r>
    <w:r w:rsidRPr="00D33F19">
      <w:rPr>
        <w:rStyle w:val="PageNumber"/>
        <w:i/>
        <w:sz w:val="22"/>
        <w:szCs w:val="22"/>
      </w:rPr>
      <w:tab/>
      <w:t>HE in Ontario, England and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004F" w14:textId="4A8AA5F7" w:rsidR="00B83978" w:rsidRDefault="00B83978">
    <w:pPr>
      <w:pStyle w:val="Footer"/>
      <w:pBdr>
        <w:bottom w:val="single" w:sz="12" w:space="1" w:color="auto"/>
      </w:pBdr>
    </w:pPr>
  </w:p>
  <w:p w14:paraId="3FB3B842" w14:textId="22E111FE" w:rsidR="00B83978" w:rsidRDefault="00B83978" w:rsidP="00B83978">
    <w:pPr>
      <w:pStyle w:val="Footer"/>
      <w:tabs>
        <w:tab w:val="clear" w:pos="8640"/>
        <w:tab w:val="right" w:pos="9498"/>
      </w:tabs>
    </w:pPr>
    <w:r w:rsidRPr="00B83978">
      <w:rPr>
        <w:sz w:val="22"/>
        <w:szCs w:val="22"/>
      </w:rPr>
      <w:t>Gavin Moodie</w:t>
    </w:r>
    <w:r w:rsidRPr="00B83978">
      <w:rPr>
        <w:sz w:val="22"/>
        <w:szCs w:val="22"/>
      </w:rPr>
      <w:tab/>
    </w:r>
    <w:r w:rsidRPr="00B83978">
      <w:rPr>
        <w:rStyle w:val="PageNumber"/>
        <w:sz w:val="22"/>
        <w:szCs w:val="22"/>
      </w:rPr>
      <w:fldChar w:fldCharType="begin"/>
    </w:r>
    <w:r w:rsidRPr="00B83978">
      <w:rPr>
        <w:rStyle w:val="PageNumber"/>
        <w:sz w:val="22"/>
        <w:szCs w:val="22"/>
      </w:rPr>
      <w:instrText xml:space="preserve"> PAGE </w:instrText>
    </w:r>
    <w:r w:rsidRPr="00B83978">
      <w:rPr>
        <w:rStyle w:val="PageNumber"/>
        <w:sz w:val="22"/>
        <w:szCs w:val="22"/>
      </w:rPr>
      <w:fldChar w:fldCharType="separate"/>
    </w:r>
    <w:r w:rsidR="006E4F64">
      <w:rPr>
        <w:rStyle w:val="PageNumber"/>
        <w:noProof/>
        <w:sz w:val="22"/>
        <w:szCs w:val="22"/>
      </w:rPr>
      <w:t>1</w:t>
    </w:r>
    <w:r w:rsidRPr="00B83978">
      <w:rPr>
        <w:rStyle w:val="PageNumber"/>
        <w:sz w:val="22"/>
        <w:szCs w:val="22"/>
      </w:rPr>
      <w:fldChar w:fldCharType="end"/>
    </w:r>
    <w:r>
      <w:rPr>
        <w:rStyle w:val="PageNumber"/>
      </w:rPr>
      <w:tab/>
    </w:r>
    <w:r w:rsidRPr="00D33F19">
      <w:rPr>
        <w:rStyle w:val="PageNumber"/>
        <w:i/>
        <w:sz w:val="22"/>
        <w:szCs w:val="22"/>
      </w:rPr>
      <w:t>HE in Ontario, England and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81B37" w14:textId="77777777" w:rsidR="00805DE9" w:rsidRDefault="00805DE9" w:rsidP="00F1414F">
      <w:r>
        <w:separator/>
      </w:r>
    </w:p>
  </w:footnote>
  <w:footnote w:type="continuationSeparator" w:id="0">
    <w:p w14:paraId="684CDB45" w14:textId="77777777" w:rsidR="00805DE9" w:rsidRDefault="00805DE9" w:rsidP="00F1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62B16"/>
    <w:multiLevelType w:val="multilevel"/>
    <w:tmpl w:val="6878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3267B"/>
    <w:multiLevelType w:val="multilevel"/>
    <w:tmpl w:val="0980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9B726E"/>
    <w:multiLevelType w:val="multilevel"/>
    <w:tmpl w:val="78EC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828E2"/>
    <w:multiLevelType w:val="multilevel"/>
    <w:tmpl w:val="AC50F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0362E4"/>
    <w:multiLevelType w:val="hybridMultilevel"/>
    <w:tmpl w:val="4BAC9222"/>
    <w:lvl w:ilvl="0" w:tplc="4BFC898C">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DA"/>
    <w:rsid w:val="00006091"/>
    <w:rsid w:val="000108C9"/>
    <w:rsid w:val="0001296B"/>
    <w:rsid w:val="00025C1C"/>
    <w:rsid w:val="00026B5E"/>
    <w:rsid w:val="00033133"/>
    <w:rsid w:val="00034DE5"/>
    <w:rsid w:val="000369FB"/>
    <w:rsid w:val="000456DD"/>
    <w:rsid w:val="000461E3"/>
    <w:rsid w:val="00051731"/>
    <w:rsid w:val="000628A8"/>
    <w:rsid w:val="00073F27"/>
    <w:rsid w:val="00077007"/>
    <w:rsid w:val="00077427"/>
    <w:rsid w:val="00087DB4"/>
    <w:rsid w:val="00093B74"/>
    <w:rsid w:val="00095903"/>
    <w:rsid w:val="00095B90"/>
    <w:rsid w:val="00096CA1"/>
    <w:rsid w:val="000A7D44"/>
    <w:rsid w:val="000B2F0C"/>
    <w:rsid w:val="000B7299"/>
    <w:rsid w:val="000D3FA0"/>
    <w:rsid w:val="000D4ECE"/>
    <w:rsid w:val="000D611C"/>
    <w:rsid w:val="000E3C0C"/>
    <w:rsid w:val="000E4347"/>
    <w:rsid w:val="000E43CF"/>
    <w:rsid w:val="000F33F5"/>
    <w:rsid w:val="000F6ADB"/>
    <w:rsid w:val="0010129A"/>
    <w:rsid w:val="00106B55"/>
    <w:rsid w:val="00132585"/>
    <w:rsid w:val="0013716A"/>
    <w:rsid w:val="001416DB"/>
    <w:rsid w:val="001444F6"/>
    <w:rsid w:val="001721AD"/>
    <w:rsid w:val="00176030"/>
    <w:rsid w:val="0018728D"/>
    <w:rsid w:val="00187479"/>
    <w:rsid w:val="00193D4F"/>
    <w:rsid w:val="00195F51"/>
    <w:rsid w:val="001A72F2"/>
    <w:rsid w:val="001B2954"/>
    <w:rsid w:val="001B2C1B"/>
    <w:rsid w:val="001B490A"/>
    <w:rsid w:val="001B64F8"/>
    <w:rsid w:val="001D1B66"/>
    <w:rsid w:val="001D3061"/>
    <w:rsid w:val="001D501E"/>
    <w:rsid w:val="001D7A45"/>
    <w:rsid w:val="001F2C0B"/>
    <w:rsid w:val="001F4EF6"/>
    <w:rsid w:val="001F688B"/>
    <w:rsid w:val="001F71FC"/>
    <w:rsid w:val="00200C7F"/>
    <w:rsid w:val="00207657"/>
    <w:rsid w:val="00210E72"/>
    <w:rsid w:val="00213BAB"/>
    <w:rsid w:val="00216C05"/>
    <w:rsid w:val="00216CAC"/>
    <w:rsid w:val="002210A2"/>
    <w:rsid w:val="002319A5"/>
    <w:rsid w:val="00232D3D"/>
    <w:rsid w:val="0023608E"/>
    <w:rsid w:val="00240600"/>
    <w:rsid w:val="00241931"/>
    <w:rsid w:val="00244D39"/>
    <w:rsid w:val="002522EF"/>
    <w:rsid w:val="00252CDD"/>
    <w:rsid w:val="00265397"/>
    <w:rsid w:val="0027028B"/>
    <w:rsid w:val="00274370"/>
    <w:rsid w:val="002757D8"/>
    <w:rsid w:val="00293CD0"/>
    <w:rsid w:val="00297012"/>
    <w:rsid w:val="002A0CFA"/>
    <w:rsid w:val="002A1C5B"/>
    <w:rsid w:val="002B07E3"/>
    <w:rsid w:val="002B3014"/>
    <w:rsid w:val="002B30AA"/>
    <w:rsid w:val="002C0711"/>
    <w:rsid w:val="002C77D2"/>
    <w:rsid w:val="002D03E5"/>
    <w:rsid w:val="002D4157"/>
    <w:rsid w:val="002E1325"/>
    <w:rsid w:val="002E6C88"/>
    <w:rsid w:val="002F1C03"/>
    <w:rsid w:val="002F38BF"/>
    <w:rsid w:val="00305983"/>
    <w:rsid w:val="00320DC7"/>
    <w:rsid w:val="00322463"/>
    <w:rsid w:val="003277CD"/>
    <w:rsid w:val="00330D85"/>
    <w:rsid w:val="00332DA8"/>
    <w:rsid w:val="00343A5B"/>
    <w:rsid w:val="0034558D"/>
    <w:rsid w:val="0034634E"/>
    <w:rsid w:val="00350B36"/>
    <w:rsid w:val="00351ED4"/>
    <w:rsid w:val="00356F56"/>
    <w:rsid w:val="003606E6"/>
    <w:rsid w:val="00364DE8"/>
    <w:rsid w:val="0037585E"/>
    <w:rsid w:val="00376F24"/>
    <w:rsid w:val="003800F3"/>
    <w:rsid w:val="003804FF"/>
    <w:rsid w:val="0038539F"/>
    <w:rsid w:val="003860F8"/>
    <w:rsid w:val="00391569"/>
    <w:rsid w:val="00394975"/>
    <w:rsid w:val="003A2CDE"/>
    <w:rsid w:val="003A2EC3"/>
    <w:rsid w:val="003A6606"/>
    <w:rsid w:val="003A723A"/>
    <w:rsid w:val="003B09B7"/>
    <w:rsid w:val="003B1572"/>
    <w:rsid w:val="003B5783"/>
    <w:rsid w:val="003C1FF7"/>
    <w:rsid w:val="003D3D4B"/>
    <w:rsid w:val="003D626F"/>
    <w:rsid w:val="003E55F9"/>
    <w:rsid w:val="003E5E9F"/>
    <w:rsid w:val="003E7109"/>
    <w:rsid w:val="003F6A05"/>
    <w:rsid w:val="004026C6"/>
    <w:rsid w:val="00402AB8"/>
    <w:rsid w:val="004053AA"/>
    <w:rsid w:val="00417296"/>
    <w:rsid w:val="00421C72"/>
    <w:rsid w:val="00424B32"/>
    <w:rsid w:val="00430915"/>
    <w:rsid w:val="00431D03"/>
    <w:rsid w:val="00437C71"/>
    <w:rsid w:val="00443A20"/>
    <w:rsid w:val="00461F6C"/>
    <w:rsid w:val="004656A4"/>
    <w:rsid w:val="004811BC"/>
    <w:rsid w:val="00485401"/>
    <w:rsid w:val="00486476"/>
    <w:rsid w:val="004A4F94"/>
    <w:rsid w:val="004B1F48"/>
    <w:rsid w:val="004B4462"/>
    <w:rsid w:val="004B6EBD"/>
    <w:rsid w:val="004C566E"/>
    <w:rsid w:val="004D4495"/>
    <w:rsid w:val="004D4FEA"/>
    <w:rsid w:val="004E17BC"/>
    <w:rsid w:val="004F5845"/>
    <w:rsid w:val="00506056"/>
    <w:rsid w:val="00507378"/>
    <w:rsid w:val="005113E4"/>
    <w:rsid w:val="00512118"/>
    <w:rsid w:val="00512E02"/>
    <w:rsid w:val="00514652"/>
    <w:rsid w:val="00521227"/>
    <w:rsid w:val="00532759"/>
    <w:rsid w:val="00537C7B"/>
    <w:rsid w:val="00541A03"/>
    <w:rsid w:val="005435C2"/>
    <w:rsid w:val="00543C62"/>
    <w:rsid w:val="005578F7"/>
    <w:rsid w:val="0057593D"/>
    <w:rsid w:val="00587B47"/>
    <w:rsid w:val="0059300B"/>
    <w:rsid w:val="005B203F"/>
    <w:rsid w:val="005B2AA6"/>
    <w:rsid w:val="005B4D1E"/>
    <w:rsid w:val="005B5F57"/>
    <w:rsid w:val="005C086E"/>
    <w:rsid w:val="005C0FED"/>
    <w:rsid w:val="005D3CA4"/>
    <w:rsid w:val="005D41AC"/>
    <w:rsid w:val="005D43EC"/>
    <w:rsid w:val="005D5399"/>
    <w:rsid w:val="005D6DEF"/>
    <w:rsid w:val="005E1E46"/>
    <w:rsid w:val="005F12B8"/>
    <w:rsid w:val="005F2E44"/>
    <w:rsid w:val="00602EB1"/>
    <w:rsid w:val="00604E14"/>
    <w:rsid w:val="00605626"/>
    <w:rsid w:val="00606B66"/>
    <w:rsid w:val="00611265"/>
    <w:rsid w:val="00616122"/>
    <w:rsid w:val="006178EF"/>
    <w:rsid w:val="006257B0"/>
    <w:rsid w:val="0063546B"/>
    <w:rsid w:val="00640444"/>
    <w:rsid w:val="00642366"/>
    <w:rsid w:val="00652E95"/>
    <w:rsid w:val="00662050"/>
    <w:rsid w:val="00663846"/>
    <w:rsid w:val="006658D5"/>
    <w:rsid w:val="006671D6"/>
    <w:rsid w:val="00667E57"/>
    <w:rsid w:val="00675059"/>
    <w:rsid w:val="00675E60"/>
    <w:rsid w:val="006825A3"/>
    <w:rsid w:val="0068560D"/>
    <w:rsid w:val="006A5D34"/>
    <w:rsid w:val="006B10EF"/>
    <w:rsid w:val="006C3165"/>
    <w:rsid w:val="006C5C85"/>
    <w:rsid w:val="006D2EB4"/>
    <w:rsid w:val="006E4F64"/>
    <w:rsid w:val="006E5BE1"/>
    <w:rsid w:val="006F18FB"/>
    <w:rsid w:val="006F6CA3"/>
    <w:rsid w:val="00702984"/>
    <w:rsid w:val="007064A0"/>
    <w:rsid w:val="007065C0"/>
    <w:rsid w:val="00721813"/>
    <w:rsid w:val="00730A35"/>
    <w:rsid w:val="0073162E"/>
    <w:rsid w:val="00731F1A"/>
    <w:rsid w:val="00732B9F"/>
    <w:rsid w:val="007338D8"/>
    <w:rsid w:val="00740703"/>
    <w:rsid w:val="0074381B"/>
    <w:rsid w:val="00760011"/>
    <w:rsid w:val="00760523"/>
    <w:rsid w:val="00761441"/>
    <w:rsid w:val="00763F9E"/>
    <w:rsid w:val="007678F2"/>
    <w:rsid w:val="00767947"/>
    <w:rsid w:val="007815FC"/>
    <w:rsid w:val="00786479"/>
    <w:rsid w:val="00786B34"/>
    <w:rsid w:val="00787AED"/>
    <w:rsid w:val="00787CB5"/>
    <w:rsid w:val="00790F70"/>
    <w:rsid w:val="00791026"/>
    <w:rsid w:val="00794A63"/>
    <w:rsid w:val="00795891"/>
    <w:rsid w:val="007A7879"/>
    <w:rsid w:val="007C02FB"/>
    <w:rsid w:val="007C1097"/>
    <w:rsid w:val="007C14DD"/>
    <w:rsid w:val="007C1D45"/>
    <w:rsid w:val="007C2572"/>
    <w:rsid w:val="007C536B"/>
    <w:rsid w:val="007D129B"/>
    <w:rsid w:val="007D318B"/>
    <w:rsid w:val="007D4ED2"/>
    <w:rsid w:val="007D64CB"/>
    <w:rsid w:val="007D7056"/>
    <w:rsid w:val="007D7AD4"/>
    <w:rsid w:val="007E3EE7"/>
    <w:rsid w:val="007E5357"/>
    <w:rsid w:val="007E56CD"/>
    <w:rsid w:val="007F0A06"/>
    <w:rsid w:val="007F6934"/>
    <w:rsid w:val="008038A4"/>
    <w:rsid w:val="00805661"/>
    <w:rsid w:val="00805DE9"/>
    <w:rsid w:val="00813AF3"/>
    <w:rsid w:val="008153A6"/>
    <w:rsid w:val="008235A3"/>
    <w:rsid w:val="008335FE"/>
    <w:rsid w:val="00833FFE"/>
    <w:rsid w:val="008352D5"/>
    <w:rsid w:val="00835EAC"/>
    <w:rsid w:val="00844FFD"/>
    <w:rsid w:val="00847BB0"/>
    <w:rsid w:val="00855E88"/>
    <w:rsid w:val="00860AC0"/>
    <w:rsid w:val="00861D42"/>
    <w:rsid w:val="00872F7C"/>
    <w:rsid w:val="008816B8"/>
    <w:rsid w:val="00882F13"/>
    <w:rsid w:val="008952A4"/>
    <w:rsid w:val="008A30B4"/>
    <w:rsid w:val="008A76CD"/>
    <w:rsid w:val="008B1AD5"/>
    <w:rsid w:val="008B213B"/>
    <w:rsid w:val="008B2180"/>
    <w:rsid w:val="008B2D41"/>
    <w:rsid w:val="008C25D8"/>
    <w:rsid w:val="008C4B8E"/>
    <w:rsid w:val="008C4E71"/>
    <w:rsid w:val="008D6F89"/>
    <w:rsid w:val="008E39E4"/>
    <w:rsid w:val="008E3C27"/>
    <w:rsid w:val="008E6B7B"/>
    <w:rsid w:val="008F002B"/>
    <w:rsid w:val="008F54C8"/>
    <w:rsid w:val="008F583F"/>
    <w:rsid w:val="008F59F1"/>
    <w:rsid w:val="00902181"/>
    <w:rsid w:val="00912E6A"/>
    <w:rsid w:val="00914FD5"/>
    <w:rsid w:val="00915623"/>
    <w:rsid w:val="00923D1E"/>
    <w:rsid w:val="00923F5B"/>
    <w:rsid w:val="00934B28"/>
    <w:rsid w:val="0093626C"/>
    <w:rsid w:val="00940508"/>
    <w:rsid w:val="00940C93"/>
    <w:rsid w:val="00945EFD"/>
    <w:rsid w:val="00950FAC"/>
    <w:rsid w:val="0096056F"/>
    <w:rsid w:val="00961FD8"/>
    <w:rsid w:val="00973098"/>
    <w:rsid w:val="00981366"/>
    <w:rsid w:val="00981C67"/>
    <w:rsid w:val="009854A6"/>
    <w:rsid w:val="00991582"/>
    <w:rsid w:val="00992608"/>
    <w:rsid w:val="009A2025"/>
    <w:rsid w:val="009A434A"/>
    <w:rsid w:val="009B03FB"/>
    <w:rsid w:val="009C31E9"/>
    <w:rsid w:val="009C4CD1"/>
    <w:rsid w:val="009D3429"/>
    <w:rsid w:val="009D6AD8"/>
    <w:rsid w:val="009D6E64"/>
    <w:rsid w:val="009D6EBB"/>
    <w:rsid w:val="009E5395"/>
    <w:rsid w:val="009E6657"/>
    <w:rsid w:val="009F0B95"/>
    <w:rsid w:val="009F0EC3"/>
    <w:rsid w:val="009F2E58"/>
    <w:rsid w:val="00A01931"/>
    <w:rsid w:val="00A04AAA"/>
    <w:rsid w:val="00A06BE4"/>
    <w:rsid w:val="00A06D39"/>
    <w:rsid w:val="00A123B2"/>
    <w:rsid w:val="00A138FC"/>
    <w:rsid w:val="00A14453"/>
    <w:rsid w:val="00A236C6"/>
    <w:rsid w:val="00A24CDF"/>
    <w:rsid w:val="00A318EE"/>
    <w:rsid w:val="00A31D6B"/>
    <w:rsid w:val="00A32C48"/>
    <w:rsid w:val="00A33944"/>
    <w:rsid w:val="00A36E53"/>
    <w:rsid w:val="00A415D7"/>
    <w:rsid w:val="00A44681"/>
    <w:rsid w:val="00A46FDA"/>
    <w:rsid w:val="00A5429A"/>
    <w:rsid w:val="00A54441"/>
    <w:rsid w:val="00A6401E"/>
    <w:rsid w:val="00A64407"/>
    <w:rsid w:val="00A64AA1"/>
    <w:rsid w:val="00A67C03"/>
    <w:rsid w:val="00A72F5B"/>
    <w:rsid w:val="00A812EA"/>
    <w:rsid w:val="00A86FAD"/>
    <w:rsid w:val="00A90B65"/>
    <w:rsid w:val="00AA0830"/>
    <w:rsid w:val="00AB29FF"/>
    <w:rsid w:val="00AB605B"/>
    <w:rsid w:val="00AC4AC8"/>
    <w:rsid w:val="00AD31D5"/>
    <w:rsid w:val="00AD69CC"/>
    <w:rsid w:val="00AE23A0"/>
    <w:rsid w:val="00AE4793"/>
    <w:rsid w:val="00AF561F"/>
    <w:rsid w:val="00B02180"/>
    <w:rsid w:val="00B06611"/>
    <w:rsid w:val="00B10184"/>
    <w:rsid w:val="00B104F7"/>
    <w:rsid w:val="00B16192"/>
    <w:rsid w:val="00B211A2"/>
    <w:rsid w:val="00B22D41"/>
    <w:rsid w:val="00B30AE1"/>
    <w:rsid w:val="00B36806"/>
    <w:rsid w:val="00B36F6E"/>
    <w:rsid w:val="00B4041B"/>
    <w:rsid w:val="00B408C1"/>
    <w:rsid w:val="00B42065"/>
    <w:rsid w:val="00B51EEB"/>
    <w:rsid w:val="00B53977"/>
    <w:rsid w:val="00B5680D"/>
    <w:rsid w:val="00B603A1"/>
    <w:rsid w:val="00B71C5F"/>
    <w:rsid w:val="00B81730"/>
    <w:rsid w:val="00B81C34"/>
    <w:rsid w:val="00B81F19"/>
    <w:rsid w:val="00B82921"/>
    <w:rsid w:val="00B83978"/>
    <w:rsid w:val="00B85D37"/>
    <w:rsid w:val="00B87E83"/>
    <w:rsid w:val="00B9045C"/>
    <w:rsid w:val="00BA0C70"/>
    <w:rsid w:val="00BA0E13"/>
    <w:rsid w:val="00BA3BBA"/>
    <w:rsid w:val="00BA6B2D"/>
    <w:rsid w:val="00BB21B6"/>
    <w:rsid w:val="00BC45F7"/>
    <w:rsid w:val="00BC5528"/>
    <w:rsid w:val="00BC712D"/>
    <w:rsid w:val="00BD5912"/>
    <w:rsid w:val="00BD59D1"/>
    <w:rsid w:val="00BD67AB"/>
    <w:rsid w:val="00BD7F07"/>
    <w:rsid w:val="00BE099B"/>
    <w:rsid w:val="00BE185D"/>
    <w:rsid w:val="00C01BA4"/>
    <w:rsid w:val="00C10470"/>
    <w:rsid w:val="00C41B68"/>
    <w:rsid w:val="00C43231"/>
    <w:rsid w:val="00C46FCD"/>
    <w:rsid w:val="00C544A7"/>
    <w:rsid w:val="00C56AA0"/>
    <w:rsid w:val="00C6297A"/>
    <w:rsid w:val="00C75E95"/>
    <w:rsid w:val="00C76F34"/>
    <w:rsid w:val="00CA3231"/>
    <w:rsid w:val="00CA572B"/>
    <w:rsid w:val="00CB2225"/>
    <w:rsid w:val="00CB34AF"/>
    <w:rsid w:val="00CB3AC7"/>
    <w:rsid w:val="00CC2D57"/>
    <w:rsid w:val="00CC3620"/>
    <w:rsid w:val="00CC37EB"/>
    <w:rsid w:val="00CC3AC9"/>
    <w:rsid w:val="00CC5494"/>
    <w:rsid w:val="00CD7129"/>
    <w:rsid w:val="00CE5B52"/>
    <w:rsid w:val="00CF3D3D"/>
    <w:rsid w:val="00D0017F"/>
    <w:rsid w:val="00D0060F"/>
    <w:rsid w:val="00D1110F"/>
    <w:rsid w:val="00D178F2"/>
    <w:rsid w:val="00D33F19"/>
    <w:rsid w:val="00D3593E"/>
    <w:rsid w:val="00D43FE0"/>
    <w:rsid w:val="00D47147"/>
    <w:rsid w:val="00D66606"/>
    <w:rsid w:val="00D77772"/>
    <w:rsid w:val="00D85204"/>
    <w:rsid w:val="00D91744"/>
    <w:rsid w:val="00D92B80"/>
    <w:rsid w:val="00DA2806"/>
    <w:rsid w:val="00DB4460"/>
    <w:rsid w:val="00DB50D0"/>
    <w:rsid w:val="00DC40D4"/>
    <w:rsid w:val="00DC794A"/>
    <w:rsid w:val="00DD4265"/>
    <w:rsid w:val="00DE498B"/>
    <w:rsid w:val="00DE5A3C"/>
    <w:rsid w:val="00E325DA"/>
    <w:rsid w:val="00E34EEA"/>
    <w:rsid w:val="00E40E59"/>
    <w:rsid w:val="00E523AE"/>
    <w:rsid w:val="00E533D6"/>
    <w:rsid w:val="00E93441"/>
    <w:rsid w:val="00E93823"/>
    <w:rsid w:val="00E95E1B"/>
    <w:rsid w:val="00E97ED2"/>
    <w:rsid w:val="00EA4735"/>
    <w:rsid w:val="00EA5695"/>
    <w:rsid w:val="00EA58F2"/>
    <w:rsid w:val="00EA6194"/>
    <w:rsid w:val="00EB1771"/>
    <w:rsid w:val="00EB358D"/>
    <w:rsid w:val="00EB4FB9"/>
    <w:rsid w:val="00EB5434"/>
    <w:rsid w:val="00EB7F0D"/>
    <w:rsid w:val="00EC2A21"/>
    <w:rsid w:val="00EC43FC"/>
    <w:rsid w:val="00ED1193"/>
    <w:rsid w:val="00EE2825"/>
    <w:rsid w:val="00EE3C87"/>
    <w:rsid w:val="00EF4258"/>
    <w:rsid w:val="00EF6D24"/>
    <w:rsid w:val="00F001A5"/>
    <w:rsid w:val="00F02C9F"/>
    <w:rsid w:val="00F11223"/>
    <w:rsid w:val="00F1414F"/>
    <w:rsid w:val="00F149EE"/>
    <w:rsid w:val="00F22854"/>
    <w:rsid w:val="00F234BB"/>
    <w:rsid w:val="00F254EB"/>
    <w:rsid w:val="00F306C2"/>
    <w:rsid w:val="00F3181F"/>
    <w:rsid w:val="00F3183E"/>
    <w:rsid w:val="00F366A1"/>
    <w:rsid w:val="00F43AF0"/>
    <w:rsid w:val="00F450E5"/>
    <w:rsid w:val="00F4666A"/>
    <w:rsid w:val="00F50882"/>
    <w:rsid w:val="00F52AD5"/>
    <w:rsid w:val="00F53C12"/>
    <w:rsid w:val="00F57DE5"/>
    <w:rsid w:val="00F619E4"/>
    <w:rsid w:val="00F64944"/>
    <w:rsid w:val="00F70345"/>
    <w:rsid w:val="00F731F2"/>
    <w:rsid w:val="00F74742"/>
    <w:rsid w:val="00F77041"/>
    <w:rsid w:val="00F80933"/>
    <w:rsid w:val="00F83ABB"/>
    <w:rsid w:val="00F847A4"/>
    <w:rsid w:val="00F854FE"/>
    <w:rsid w:val="00F908BF"/>
    <w:rsid w:val="00F9422B"/>
    <w:rsid w:val="00FA134B"/>
    <w:rsid w:val="00FA17D2"/>
    <w:rsid w:val="00FA21E5"/>
    <w:rsid w:val="00FA7522"/>
    <w:rsid w:val="00FB430A"/>
    <w:rsid w:val="00FB4DE8"/>
    <w:rsid w:val="00FC425C"/>
    <w:rsid w:val="00FC7798"/>
    <w:rsid w:val="00FD6EA2"/>
    <w:rsid w:val="00FE24C1"/>
    <w:rsid w:val="00FE2E3E"/>
    <w:rsid w:val="00FF0E8A"/>
    <w:rsid w:val="00FF1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BD64B"/>
  <w14:defaultImageDpi w14:val="300"/>
  <w15:docId w15:val="{1554AE0C-BB19-4A3F-8C72-06B5CF52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FDA"/>
    <w:rPr>
      <w:sz w:val="24"/>
      <w:szCs w:val="24"/>
      <w:lang w:eastAsia="ja-JP"/>
    </w:rPr>
  </w:style>
  <w:style w:type="paragraph" w:styleId="Heading1">
    <w:name w:val="heading 1"/>
    <w:basedOn w:val="Normal"/>
    <w:next w:val="Normal"/>
    <w:qFormat/>
    <w:rsid w:val="00A90B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F0E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1444F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2F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6FDA"/>
    <w:pPr>
      <w:spacing w:before="100" w:beforeAutospacing="1" w:after="100" w:afterAutospacing="1"/>
    </w:pPr>
  </w:style>
  <w:style w:type="table" w:styleId="TableGrid">
    <w:name w:val="Table Grid"/>
    <w:basedOn w:val="TableNormal"/>
    <w:rsid w:val="00805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952A4"/>
    <w:rPr>
      <w:b/>
      <w:bCs/>
      <w:sz w:val="20"/>
      <w:szCs w:val="20"/>
    </w:rPr>
  </w:style>
  <w:style w:type="character" w:customStyle="1" w:styleId="apple-converted-space">
    <w:name w:val="apple-converted-space"/>
    <w:basedOn w:val="DefaultParagraphFont"/>
    <w:rsid w:val="007065C0"/>
  </w:style>
  <w:style w:type="character" w:styleId="Hyperlink">
    <w:name w:val="Hyperlink"/>
    <w:rsid w:val="007065C0"/>
    <w:rPr>
      <w:color w:val="0000FF"/>
      <w:u w:val="single"/>
    </w:rPr>
  </w:style>
  <w:style w:type="character" w:customStyle="1" w:styleId="full-story-writer">
    <w:name w:val="full-story-writer"/>
    <w:rsid w:val="00252CDD"/>
  </w:style>
  <w:style w:type="character" w:customStyle="1" w:styleId="full-story-date">
    <w:name w:val="full-story-date"/>
    <w:rsid w:val="00252CDD"/>
  </w:style>
  <w:style w:type="character" w:customStyle="1" w:styleId="full-story-issueno">
    <w:name w:val="full-story-issueno"/>
    <w:rsid w:val="00252CDD"/>
  </w:style>
  <w:style w:type="paragraph" w:customStyle="1" w:styleId="Default">
    <w:name w:val="Default"/>
    <w:rsid w:val="00F83ABB"/>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F1414F"/>
    <w:rPr>
      <w:i/>
      <w:iCs/>
    </w:rPr>
  </w:style>
  <w:style w:type="paragraph" w:styleId="BalloonText">
    <w:name w:val="Balloon Text"/>
    <w:basedOn w:val="Normal"/>
    <w:link w:val="BalloonTextChar"/>
    <w:rsid w:val="00F1414F"/>
    <w:rPr>
      <w:rFonts w:ascii="Lucida Grande" w:hAnsi="Lucida Grande" w:cs="Lucida Grande"/>
      <w:sz w:val="18"/>
      <w:szCs w:val="18"/>
    </w:rPr>
  </w:style>
  <w:style w:type="character" w:customStyle="1" w:styleId="BalloonTextChar">
    <w:name w:val="Balloon Text Char"/>
    <w:basedOn w:val="DefaultParagraphFont"/>
    <w:link w:val="BalloonText"/>
    <w:rsid w:val="00F1414F"/>
    <w:rPr>
      <w:rFonts w:ascii="Lucida Grande" w:hAnsi="Lucida Grande" w:cs="Lucida Grande"/>
      <w:sz w:val="18"/>
      <w:szCs w:val="18"/>
      <w:lang w:eastAsia="ja-JP"/>
    </w:rPr>
  </w:style>
  <w:style w:type="paragraph" w:styleId="Footer">
    <w:name w:val="footer"/>
    <w:basedOn w:val="Normal"/>
    <w:link w:val="FooterChar"/>
    <w:rsid w:val="00F1414F"/>
    <w:pPr>
      <w:tabs>
        <w:tab w:val="center" w:pos="4320"/>
        <w:tab w:val="right" w:pos="8640"/>
      </w:tabs>
    </w:pPr>
  </w:style>
  <w:style w:type="character" w:customStyle="1" w:styleId="FooterChar">
    <w:name w:val="Footer Char"/>
    <w:basedOn w:val="DefaultParagraphFont"/>
    <w:link w:val="Footer"/>
    <w:rsid w:val="00F1414F"/>
    <w:rPr>
      <w:sz w:val="24"/>
      <w:szCs w:val="24"/>
      <w:lang w:eastAsia="ja-JP"/>
    </w:rPr>
  </w:style>
  <w:style w:type="character" w:styleId="PageNumber">
    <w:name w:val="page number"/>
    <w:basedOn w:val="DefaultParagraphFont"/>
    <w:rsid w:val="00F1414F"/>
  </w:style>
  <w:style w:type="character" w:styleId="FollowedHyperlink">
    <w:name w:val="FollowedHyperlink"/>
    <w:basedOn w:val="DefaultParagraphFont"/>
    <w:rsid w:val="009D6AD8"/>
    <w:rPr>
      <w:color w:val="800080" w:themeColor="followedHyperlink"/>
      <w:u w:val="single"/>
    </w:rPr>
  </w:style>
  <w:style w:type="character" w:customStyle="1" w:styleId="A3">
    <w:name w:val="A3"/>
    <w:uiPriority w:val="99"/>
    <w:rsid w:val="00BD5912"/>
    <w:rPr>
      <w:rFonts w:cs="Humanist 77 7 BT"/>
      <w:b/>
      <w:bCs/>
      <w:color w:val="000000"/>
      <w:sz w:val="22"/>
      <w:szCs w:val="22"/>
    </w:rPr>
  </w:style>
  <w:style w:type="paragraph" w:styleId="DocumentMap">
    <w:name w:val="Document Map"/>
    <w:basedOn w:val="Normal"/>
    <w:link w:val="DocumentMapChar"/>
    <w:rsid w:val="00430915"/>
    <w:rPr>
      <w:rFonts w:ascii="Lucida Grande" w:hAnsi="Lucida Grande" w:cs="Lucida Grande"/>
    </w:rPr>
  </w:style>
  <w:style w:type="character" w:customStyle="1" w:styleId="DocumentMapChar">
    <w:name w:val="Document Map Char"/>
    <w:basedOn w:val="DefaultParagraphFont"/>
    <w:link w:val="DocumentMap"/>
    <w:rsid w:val="00430915"/>
    <w:rPr>
      <w:rFonts w:ascii="Lucida Grande" w:hAnsi="Lucida Grande" w:cs="Lucida Grande"/>
      <w:sz w:val="24"/>
      <w:szCs w:val="24"/>
      <w:lang w:eastAsia="ja-JP"/>
    </w:rPr>
  </w:style>
  <w:style w:type="character" w:customStyle="1" w:styleId="Heading2Char">
    <w:name w:val="Heading 2 Char"/>
    <w:basedOn w:val="DefaultParagraphFont"/>
    <w:link w:val="Heading2"/>
    <w:rsid w:val="009F0EC3"/>
    <w:rPr>
      <w:rFonts w:asciiTheme="majorHAnsi" w:eastAsiaTheme="majorEastAsia" w:hAnsiTheme="majorHAnsi" w:cstheme="majorBidi"/>
      <w:b/>
      <w:bCs/>
      <w:color w:val="4F81BD" w:themeColor="accent1"/>
      <w:sz w:val="26"/>
      <w:szCs w:val="26"/>
      <w:lang w:eastAsia="ja-JP"/>
    </w:rPr>
  </w:style>
  <w:style w:type="paragraph" w:styleId="Title">
    <w:name w:val="Title"/>
    <w:basedOn w:val="Default"/>
    <w:next w:val="Default"/>
    <w:link w:val="TitleChar"/>
    <w:uiPriority w:val="99"/>
    <w:qFormat/>
    <w:rsid w:val="005C086E"/>
    <w:rPr>
      <w:rFonts w:ascii="Times New Roman" w:hAnsi="Times New Roman" w:cs="Times New Roman"/>
      <w:color w:val="auto"/>
    </w:rPr>
  </w:style>
  <w:style w:type="character" w:customStyle="1" w:styleId="TitleChar">
    <w:name w:val="Title Char"/>
    <w:basedOn w:val="DefaultParagraphFont"/>
    <w:link w:val="Title"/>
    <w:uiPriority w:val="99"/>
    <w:rsid w:val="005C086E"/>
    <w:rPr>
      <w:sz w:val="24"/>
      <w:szCs w:val="24"/>
    </w:rPr>
  </w:style>
  <w:style w:type="character" w:styleId="Strong">
    <w:name w:val="Strong"/>
    <w:basedOn w:val="DefaultParagraphFont"/>
    <w:uiPriority w:val="22"/>
    <w:qFormat/>
    <w:rsid w:val="00F74742"/>
    <w:rPr>
      <w:b/>
      <w:bCs/>
    </w:rPr>
  </w:style>
  <w:style w:type="character" w:customStyle="1" w:styleId="Heading5Char">
    <w:name w:val="Heading 5 Char"/>
    <w:basedOn w:val="DefaultParagraphFont"/>
    <w:link w:val="Heading5"/>
    <w:semiHidden/>
    <w:rsid w:val="00882F13"/>
    <w:rPr>
      <w:rFonts w:asciiTheme="majorHAnsi" w:eastAsiaTheme="majorEastAsia" w:hAnsiTheme="majorHAnsi" w:cstheme="majorBidi"/>
      <w:color w:val="243F60" w:themeColor="accent1" w:themeShade="7F"/>
      <w:sz w:val="24"/>
      <w:szCs w:val="24"/>
      <w:lang w:eastAsia="ja-JP"/>
    </w:rPr>
  </w:style>
  <w:style w:type="character" w:customStyle="1" w:styleId="Heading4Char">
    <w:name w:val="Heading 4 Char"/>
    <w:basedOn w:val="DefaultParagraphFont"/>
    <w:link w:val="Heading4"/>
    <w:semiHidden/>
    <w:rsid w:val="001444F6"/>
    <w:rPr>
      <w:rFonts w:asciiTheme="majorHAnsi" w:eastAsiaTheme="majorEastAsia" w:hAnsiTheme="majorHAnsi" w:cstheme="majorBidi"/>
      <w:b/>
      <w:bCs/>
      <w:i/>
      <w:iCs/>
      <w:color w:val="4F81BD" w:themeColor="accent1"/>
      <w:sz w:val="24"/>
      <w:szCs w:val="24"/>
      <w:lang w:eastAsia="ja-JP"/>
    </w:rPr>
  </w:style>
  <w:style w:type="paragraph" w:customStyle="1" w:styleId="aligncentre">
    <w:name w:val="aligncentre"/>
    <w:basedOn w:val="Normal"/>
    <w:rsid w:val="00F854FE"/>
    <w:pPr>
      <w:spacing w:before="100" w:beforeAutospacing="1" w:after="100" w:afterAutospacing="1"/>
    </w:pPr>
    <w:rPr>
      <w:rFonts w:ascii="Times" w:hAnsi="Times"/>
      <w:sz w:val="20"/>
      <w:szCs w:val="20"/>
      <w:lang w:eastAsia="en-US"/>
    </w:rPr>
  </w:style>
  <w:style w:type="paragraph" w:styleId="Header">
    <w:name w:val="header"/>
    <w:basedOn w:val="Normal"/>
    <w:link w:val="HeaderChar"/>
    <w:rsid w:val="00D33F19"/>
    <w:pPr>
      <w:tabs>
        <w:tab w:val="center" w:pos="4320"/>
        <w:tab w:val="right" w:pos="8640"/>
      </w:tabs>
    </w:pPr>
  </w:style>
  <w:style w:type="character" w:customStyle="1" w:styleId="HeaderChar">
    <w:name w:val="Header Char"/>
    <w:basedOn w:val="DefaultParagraphFont"/>
    <w:link w:val="Header"/>
    <w:rsid w:val="00D33F19"/>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8367">
      <w:bodyDiv w:val="1"/>
      <w:marLeft w:val="0"/>
      <w:marRight w:val="0"/>
      <w:marTop w:val="0"/>
      <w:marBottom w:val="0"/>
      <w:divBdr>
        <w:top w:val="none" w:sz="0" w:space="0" w:color="auto"/>
        <w:left w:val="none" w:sz="0" w:space="0" w:color="auto"/>
        <w:bottom w:val="none" w:sz="0" w:space="0" w:color="auto"/>
        <w:right w:val="none" w:sz="0" w:space="0" w:color="auto"/>
      </w:divBdr>
    </w:div>
    <w:div w:id="109470778">
      <w:bodyDiv w:val="1"/>
      <w:marLeft w:val="0"/>
      <w:marRight w:val="0"/>
      <w:marTop w:val="0"/>
      <w:marBottom w:val="0"/>
      <w:divBdr>
        <w:top w:val="none" w:sz="0" w:space="0" w:color="auto"/>
        <w:left w:val="none" w:sz="0" w:space="0" w:color="auto"/>
        <w:bottom w:val="none" w:sz="0" w:space="0" w:color="auto"/>
        <w:right w:val="none" w:sz="0" w:space="0" w:color="auto"/>
      </w:divBdr>
    </w:div>
    <w:div w:id="193271739">
      <w:bodyDiv w:val="1"/>
      <w:marLeft w:val="0"/>
      <w:marRight w:val="0"/>
      <w:marTop w:val="0"/>
      <w:marBottom w:val="0"/>
      <w:divBdr>
        <w:top w:val="none" w:sz="0" w:space="0" w:color="auto"/>
        <w:left w:val="none" w:sz="0" w:space="0" w:color="auto"/>
        <w:bottom w:val="none" w:sz="0" w:space="0" w:color="auto"/>
        <w:right w:val="none" w:sz="0" w:space="0" w:color="auto"/>
      </w:divBdr>
    </w:div>
    <w:div w:id="211353800">
      <w:bodyDiv w:val="1"/>
      <w:marLeft w:val="0"/>
      <w:marRight w:val="0"/>
      <w:marTop w:val="0"/>
      <w:marBottom w:val="0"/>
      <w:divBdr>
        <w:top w:val="none" w:sz="0" w:space="0" w:color="auto"/>
        <w:left w:val="none" w:sz="0" w:space="0" w:color="auto"/>
        <w:bottom w:val="none" w:sz="0" w:space="0" w:color="auto"/>
        <w:right w:val="none" w:sz="0" w:space="0" w:color="auto"/>
      </w:divBdr>
    </w:div>
    <w:div w:id="227039520">
      <w:bodyDiv w:val="1"/>
      <w:marLeft w:val="0"/>
      <w:marRight w:val="0"/>
      <w:marTop w:val="0"/>
      <w:marBottom w:val="0"/>
      <w:divBdr>
        <w:top w:val="none" w:sz="0" w:space="0" w:color="auto"/>
        <w:left w:val="none" w:sz="0" w:space="0" w:color="auto"/>
        <w:bottom w:val="none" w:sz="0" w:space="0" w:color="auto"/>
        <w:right w:val="none" w:sz="0" w:space="0" w:color="auto"/>
      </w:divBdr>
    </w:div>
    <w:div w:id="232085651">
      <w:bodyDiv w:val="1"/>
      <w:marLeft w:val="0"/>
      <w:marRight w:val="0"/>
      <w:marTop w:val="0"/>
      <w:marBottom w:val="0"/>
      <w:divBdr>
        <w:top w:val="none" w:sz="0" w:space="0" w:color="auto"/>
        <w:left w:val="none" w:sz="0" w:space="0" w:color="auto"/>
        <w:bottom w:val="none" w:sz="0" w:space="0" w:color="auto"/>
        <w:right w:val="none" w:sz="0" w:space="0" w:color="auto"/>
      </w:divBdr>
    </w:div>
    <w:div w:id="251744461">
      <w:bodyDiv w:val="1"/>
      <w:marLeft w:val="0"/>
      <w:marRight w:val="0"/>
      <w:marTop w:val="0"/>
      <w:marBottom w:val="0"/>
      <w:divBdr>
        <w:top w:val="none" w:sz="0" w:space="0" w:color="auto"/>
        <w:left w:val="none" w:sz="0" w:space="0" w:color="auto"/>
        <w:bottom w:val="none" w:sz="0" w:space="0" w:color="auto"/>
        <w:right w:val="none" w:sz="0" w:space="0" w:color="auto"/>
      </w:divBdr>
    </w:div>
    <w:div w:id="255484038">
      <w:bodyDiv w:val="1"/>
      <w:marLeft w:val="0"/>
      <w:marRight w:val="0"/>
      <w:marTop w:val="0"/>
      <w:marBottom w:val="0"/>
      <w:divBdr>
        <w:top w:val="none" w:sz="0" w:space="0" w:color="auto"/>
        <w:left w:val="none" w:sz="0" w:space="0" w:color="auto"/>
        <w:bottom w:val="none" w:sz="0" w:space="0" w:color="auto"/>
        <w:right w:val="none" w:sz="0" w:space="0" w:color="auto"/>
      </w:divBdr>
    </w:div>
    <w:div w:id="258222247">
      <w:bodyDiv w:val="1"/>
      <w:marLeft w:val="0"/>
      <w:marRight w:val="0"/>
      <w:marTop w:val="0"/>
      <w:marBottom w:val="0"/>
      <w:divBdr>
        <w:top w:val="none" w:sz="0" w:space="0" w:color="auto"/>
        <w:left w:val="none" w:sz="0" w:space="0" w:color="auto"/>
        <w:bottom w:val="none" w:sz="0" w:space="0" w:color="auto"/>
        <w:right w:val="none" w:sz="0" w:space="0" w:color="auto"/>
      </w:divBdr>
      <w:divsChild>
        <w:div w:id="1155995586">
          <w:marLeft w:val="0"/>
          <w:marRight w:val="0"/>
          <w:marTop w:val="0"/>
          <w:marBottom w:val="0"/>
          <w:divBdr>
            <w:top w:val="none" w:sz="0" w:space="0" w:color="auto"/>
            <w:left w:val="none" w:sz="0" w:space="0" w:color="auto"/>
            <w:bottom w:val="none" w:sz="0" w:space="0" w:color="auto"/>
            <w:right w:val="none" w:sz="0" w:space="0" w:color="auto"/>
          </w:divBdr>
        </w:div>
        <w:div w:id="1784572302">
          <w:marLeft w:val="0"/>
          <w:marRight w:val="0"/>
          <w:marTop w:val="0"/>
          <w:marBottom w:val="0"/>
          <w:divBdr>
            <w:top w:val="none" w:sz="0" w:space="0" w:color="auto"/>
            <w:left w:val="none" w:sz="0" w:space="0" w:color="auto"/>
            <w:bottom w:val="none" w:sz="0" w:space="0" w:color="auto"/>
            <w:right w:val="none" w:sz="0" w:space="0" w:color="auto"/>
          </w:divBdr>
        </w:div>
      </w:divsChild>
    </w:div>
    <w:div w:id="264659843">
      <w:bodyDiv w:val="1"/>
      <w:marLeft w:val="0"/>
      <w:marRight w:val="0"/>
      <w:marTop w:val="0"/>
      <w:marBottom w:val="0"/>
      <w:divBdr>
        <w:top w:val="none" w:sz="0" w:space="0" w:color="auto"/>
        <w:left w:val="none" w:sz="0" w:space="0" w:color="auto"/>
        <w:bottom w:val="none" w:sz="0" w:space="0" w:color="auto"/>
        <w:right w:val="none" w:sz="0" w:space="0" w:color="auto"/>
      </w:divBdr>
    </w:div>
    <w:div w:id="289628535">
      <w:bodyDiv w:val="1"/>
      <w:marLeft w:val="0"/>
      <w:marRight w:val="0"/>
      <w:marTop w:val="0"/>
      <w:marBottom w:val="0"/>
      <w:divBdr>
        <w:top w:val="none" w:sz="0" w:space="0" w:color="auto"/>
        <w:left w:val="none" w:sz="0" w:space="0" w:color="auto"/>
        <w:bottom w:val="none" w:sz="0" w:space="0" w:color="auto"/>
        <w:right w:val="none" w:sz="0" w:space="0" w:color="auto"/>
      </w:divBdr>
    </w:div>
    <w:div w:id="292564101">
      <w:bodyDiv w:val="1"/>
      <w:marLeft w:val="0"/>
      <w:marRight w:val="0"/>
      <w:marTop w:val="0"/>
      <w:marBottom w:val="0"/>
      <w:divBdr>
        <w:top w:val="none" w:sz="0" w:space="0" w:color="auto"/>
        <w:left w:val="none" w:sz="0" w:space="0" w:color="auto"/>
        <w:bottom w:val="none" w:sz="0" w:space="0" w:color="auto"/>
        <w:right w:val="none" w:sz="0" w:space="0" w:color="auto"/>
      </w:divBdr>
    </w:div>
    <w:div w:id="344983438">
      <w:bodyDiv w:val="1"/>
      <w:marLeft w:val="0"/>
      <w:marRight w:val="0"/>
      <w:marTop w:val="0"/>
      <w:marBottom w:val="0"/>
      <w:divBdr>
        <w:top w:val="none" w:sz="0" w:space="0" w:color="auto"/>
        <w:left w:val="none" w:sz="0" w:space="0" w:color="auto"/>
        <w:bottom w:val="none" w:sz="0" w:space="0" w:color="auto"/>
        <w:right w:val="none" w:sz="0" w:space="0" w:color="auto"/>
      </w:divBdr>
    </w:div>
    <w:div w:id="369262034">
      <w:bodyDiv w:val="1"/>
      <w:marLeft w:val="0"/>
      <w:marRight w:val="0"/>
      <w:marTop w:val="0"/>
      <w:marBottom w:val="0"/>
      <w:divBdr>
        <w:top w:val="none" w:sz="0" w:space="0" w:color="auto"/>
        <w:left w:val="none" w:sz="0" w:space="0" w:color="auto"/>
        <w:bottom w:val="none" w:sz="0" w:space="0" w:color="auto"/>
        <w:right w:val="none" w:sz="0" w:space="0" w:color="auto"/>
      </w:divBdr>
    </w:div>
    <w:div w:id="383875606">
      <w:bodyDiv w:val="1"/>
      <w:marLeft w:val="0"/>
      <w:marRight w:val="0"/>
      <w:marTop w:val="0"/>
      <w:marBottom w:val="0"/>
      <w:divBdr>
        <w:top w:val="none" w:sz="0" w:space="0" w:color="auto"/>
        <w:left w:val="none" w:sz="0" w:space="0" w:color="auto"/>
        <w:bottom w:val="none" w:sz="0" w:space="0" w:color="auto"/>
        <w:right w:val="none" w:sz="0" w:space="0" w:color="auto"/>
      </w:divBdr>
    </w:div>
    <w:div w:id="386884223">
      <w:bodyDiv w:val="1"/>
      <w:marLeft w:val="0"/>
      <w:marRight w:val="0"/>
      <w:marTop w:val="0"/>
      <w:marBottom w:val="0"/>
      <w:divBdr>
        <w:top w:val="none" w:sz="0" w:space="0" w:color="auto"/>
        <w:left w:val="none" w:sz="0" w:space="0" w:color="auto"/>
        <w:bottom w:val="none" w:sz="0" w:space="0" w:color="auto"/>
        <w:right w:val="none" w:sz="0" w:space="0" w:color="auto"/>
      </w:divBdr>
    </w:div>
    <w:div w:id="393698794">
      <w:bodyDiv w:val="1"/>
      <w:marLeft w:val="0"/>
      <w:marRight w:val="0"/>
      <w:marTop w:val="0"/>
      <w:marBottom w:val="0"/>
      <w:divBdr>
        <w:top w:val="none" w:sz="0" w:space="0" w:color="auto"/>
        <w:left w:val="none" w:sz="0" w:space="0" w:color="auto"/>
        <w:bottom w:val="none" w:sz="0" w:space="0" w:color="auto"/>
        <w:right w:val="none" w:sz="0" w:space="0" w:color="auto"/>
      </w:divBdr>
    </w:div>
    <w:div w:id="429355485">
      <w:bodyDiv w:val="1"/>
      <w:marLeft w:val="0"/>
      <w:marRight w:val="0"/>
      <w:marTop w:val="0"/>
      <w:marBottom w:val="0"/>
      <w:divBdr>
        <w:top w:val="none" w:sz="0" w:space="0" w:color="auto"/>
        <w:left w:val="none" w:sz="0" w:space="0" w:color="auto"/>
        <w:bottom w:val="none" w:sz="0" w:space="0" w:color="auto"/>
        <w:right w:val="none" w:sz="0" w:space="0" w:color="auto"/>
      </w:divBdr>
    </w:div>
    <w:div w:id="470639810">
      <w:bodyDiv w:val="1"/>
      <w:marLeft w:val="0"/>
      <w:marRight w:val="0"/>
      <w:marTop w:val="0"/>
      <w:marBottom w:val="0"/>
      <w:divBdr>
        <w:top w:val="none" w:sz="0" w:space="0" w:color="auto"/>
        <w:left w:val="none" w:sz="0" w:space="0" w:color="auto"/>
        <w:bottom w:val="none" w:sz="0" w:space="0" w:color="auto"/>
        <w:right w:val="none" w:sz="0" w:space="0" w:color="auto"/>
      </w:divBdr>
    </w:div>
    <w:div w:id="537158776">
      <w:bodyDiv w:val="1"/>
      <w:marLeft w:val="0"/>
      <w:marRight w:val="0"/>
      <w:marTop w:val="0"/>
      <w:marBottom w:val="0"/>
      <w:divBdr>
        <w:top w:val="none" w:sz="0" w:space="0" w:color="auto"/>
        <w:left w:val="none" w:sz="0" w:space="0" w:color="auto"/>
        <w:bottom w:val="none" w:sz="0" w:space="0" w:color="auto"/>
        <w:right w:val="none" w:sz="0" w:space="0" w:color="auto"/>
      </w:divBdr>
    </w:div>
    <w:div w:id="582959972">
      <w:bodyDiv w:val="1"/>
      <w:marLeft w:val="0"/>
      <w:marRight w:val="0"/>
      <w:marTop w:val="0"/>
      <w:marBottom w:val="0"/>
      <w:divBdr>
        <w:top w:val="none" w:sz="0" w:space="0" w:color="auto"/>
        <w:left w:val="none" w:sz="0" w:space="0" w:color="auto"/>
        <w:bottom w:val="none" w:sz="0" w:space="0" w:color="auto"/>
        <w:right w:val="none" w:sz="0" w:space="0" w:color="auto"/>
      </w:divBdr>
    </w:div>
    <w:div w:id="624894846">
      <w:bodyDiv w:val="1"/>
      <w:marLeft w:val="0"/>
      <w:marRight w:val="0"/>
      <w:marTop w:val="0"/>
      <w:marBottom w:val="0"/>
      <w:divBdr>
        <w:top w:val="none" w:sz="0" w:space="0" w:color="auto"/>
        <w:left w:val="none" w:sz="0" w:space="0" w:color="auto"/>
        <w:bottom w:val="none" w:sz="0" w:space="0" w:color="auto"/>
        <w:right w:val="none" w:sz="0" w:space="0" w:color="auto"/>
      </w:divBdr>
    </w:div>
    <w:div w:id="638456546">
      <w:bodyDiv w:val="1"/>
      <w:marLeft w:val="0"/>
      <w:marRight w:val="0"/>
      <w:marTop w:val="0"/>
      <w:marBottom w:val="0"/>
      <w:divBdr>
        <w:top w:val="none" w:sz="0" w:space="0" w:color="auto"/>
        <w:left w:val="none" w:sz="0" w:space="0" w:color="auto"/>
        <w:bottom w:val="none" w:sz="0" w:space="0" w:color="auto"/>
        <w:right w:val="none" w:sz="0" w:space="0" w:color="auto"/>
      </w:divBdr>
    </w:div>
    <w:div w:id="647903261">
      <w:bodyDiv w:val="1"/>
      <w:marLeft w:val="0"/>
      <w:marRight w:val="0"/>
      <w:marTop w:val="0"/>
      <w:marBottom w:val="0"/>
      <w:divBdr>
        <w:top w:val="none" w:sz="0" w:space="0" w:color="auto"/>
        <w:left w:val="none" w:sz="0" w:space="0" w:color="auto"/>
        <w:bottom w:val="none" w:sz="0" w:space="0" w:color="auto"/>
        <w:right w:val="none" w:sz="0" w:space="0" w:color="auto"/>
      </w:divBdr>
    </w:div>
    <w:div w:id="676270110">
      <w:bodyDiv w:val="1"/>
      <w:marLeft w:val="0"/>
      <w:marRight w:val="0"/>
      <w:marTop w:val="0"/>
      <w:marBottom w:val="0"/>
      <w:divBdr>
        <w:top w:val="none" w:sz="0" w:space="0" w:color="auto"/>
        <w:left w:val="none" w:sz="0" w:space="0" w:color="auto"/>
        <w:bottom w:val="none" w:sz="0" w:space="0" w:color="auto"/>
        <w:right w:val="none" w:sz="0" w:space="0" w:color="auto"/>
      </w:divBdr>
      <w:divsChild>
        <w:div w:id="2126347577">
          <w:marLeft w:val="0"/>
          <w:marRight w:val="0"/>
          <w:marTop w:val="0"/>
          <w:marBottom w:val="0"/>
          <w:divBdr>
            <w:top w:val="none" w:sz="0" w:space="0" w:color="auto"/>
            <w:left w:val="none" w:sz="0" w:space="0" w:color="auto"/>
            <w:bottom w:val="none" w:sz="0" w:space="0" w:color="auto"/>
            <w:right w:val="none" w:sz="0" w:space="0" w:color="auto"/>
          </w:divBdr>
        </w:div>
      </w:divsChild>
    </w:div>
    <w:div w:id="709844882">
      <w:bodyDiv w:val="1"/>
      <w:marLeft w:val="0"/>
      <w:marRight w:val="0"/>
      <w:marTop w:val="0"/>
      <w:marBottom w:val="0"/>
      <w:divBdr>
        <w:top w:val="none" w:sz="0" w:space="0" w:color="auto"/>
        <w:left w:val="none" w:sz="0" w:space="0" w:color="auto"/>
        <w:bottom w:val="none" w:sz="0" w:space="0" w:color="auto"/>
        <w:right w:val="none" w:sz="0" w:space="0" w:color="auto"/>
      </w:divBdr>
    </w:div>
    <w:div w:id="795413019">
      <w:bodyDiv w:val="1"/>
      <w:marLeft w:val="0"/>
      <w:marRight w:val="0"/>
      <w:marTop w:val="0"/>
      <w:marBottom w:val="0"/>
      <w:divBdr>
        <w:top w:val="none" w:sz="0" w:space="0" w:color="auto"/>
        <w:left w:val="none" w:sz="0" w:space="0" w:color="auto"/>
        <w:bottom w:val="none" w:sz="0" w:space="0" w:color="auto"/>
        <w:right w:val="none" w:sz="0" w:space="0" w:color="auto"/>
      </w:divBdr>
    </w:div>
    <w:div w:id="801386997">
      <w:bodyDiv w:val="1"/>
      <w:marLeft w:val="0"/>
      <w:marRight w:val="0"/>
      <w:marTop w:val="0"/>
      <w:marBottom w:val="0"/>
      <w:divBdr>
        <w:top w:val="none" w:sz="0" w:space="0" w:color="auto"/>
        <w:left w:val="none" w:sz="0" w:space="0" w:color="auto"/>
        <w:bottom w:val="none" w:sz="0" w:space="0" w:color="auto"/>
        <w:right w:val="none" w:sz="0" w:space="0" w:color="auto"/>
      </w:divBdr>
      <w:divsChild>
        <w:div w:id="527567776">
          <w:marLeft w:val="0"/>
          <w:marRight w:val="0"/>
          <w:marTop w:val="0"/>
          <w:marBottom w:val="0"/>
          <w:divBdr>
            <w:top w:val="none" w:sz="0" w:space="0" w:color="auto"/>
            <w:left w:val="none" w:sz="0" w:space="0" w:color="auto"/>
            <w:bottom w:val="none" w:sz="0" w:space="0" w:color="auto"/>
            <w:right w:val="none" w:sz="0" w:space="0" w:color="auto"/>
          </w:divBdr>
        </w:div>
        <w:div w:id="393743327">
          <w:marLeft w:val="0"/>
          <w:marRight w:val="0"/>
          <w:marTop w:val="0"/>
          <w:marBottom w:val="0"/>
          <w:divBdr>
            <w:top w:val="none" w:sz="0" w:space="0" w:color="auto"/>
            <w:left w:val="none" w:sz="0" w:space="0" w:color="auto"/>
            <w:bottom w:val="none" w:sz="0" w:space="0" w:color="auto"/>
            <w:right w:val="none" w:sz="0" w:space="0" w:color="auto"/>
          </w:divBdr>
        </w:div>
        <w:div w:id="1938827496">
          <w:marLeft w:val="0"/>
          <w:marRight w:val="0"/>
          <w:marTop w:val="0"/>
          <w:marBottom w:val="0"/>
          <w:divBdr>
            <w:top w:val="none" w:sz="0" w:space="0" w:color="auto"/>
            <w:left w:val="none" w:sz="0" w:space="0" w:color="auto"/>
            <w:bottom w:val="none" w:sz="0" w:space="0" w:color="auto"/>
            <w:right w:val="none" w:sz="0" w:space="0" w:color="auto"/>
          </w:divBdr>
        </w:div>
        <w:div w:id="1523056687">
          <w:marLeft w:val="0"/>
          <w:marRight w:val="0"/>
          <w:marTop w:val="0"/>
          <w:marBottom w:val="0"/>
          <w:divBdr>
            <w:top w:val="none" w:sz="0" w:space="0" w:color="auto"/>
            <w:left w:val="none" w:sz="0" w:space="0" w:color="auto"/>
            <w:bottom w:val="none" w:sz="0" w:space="0" w:color="auto"/>
            <w:right w:val="none" w:sz="0" w:space="0" w:color="auto"/>
          </w:divBdr>
        </w:div>
        <w:div w:id="63644387">
          <w:marLeft w:val="0"/>
          <w:marRight w:val="0"/>
          <w:marTop w:val="0"/>
          <w:marBottom w:val="0"/>
          <w:divBdr>
            <w:top w:val="none" w:sz="0" w:space="0" w:color="auto"/>
            <w:left w:val="none" w:sz="0" w:space="0" w:color="auto"/>
            <w:bottom w:val="none" w:sz="0" w:space="0" w:color="auto"/>
            <w:right w:val="none" w:sz="0" w:space="0" w:color="auto"/>
          </w:divBdr>
        </w:div>
        <w:div w:id="1656839779">
          <w:marLeft w:val="0"/>
          <w:marRight w:val="0"/>
          <w:marTop w:val="0"/>
          <w:marBottom w:val="0"/>
          <w:divBdr>
            <w:top w:val="none" w:sz="0" w:space="0" w:color="auto"/>
            <w:left w:val="none" w:sz="0" w:space="0" w:color="auto"/>
            <w:bottom w:val="none" w:sz="0" w:space="0" w:color="auto"/>
            <w:right w:val="none" w:sz="0" w:space="0" w:color="auto"/>
          </w:divBdr>
        </w:div>
        <w:div w:id="832724240">
          <w:marLeft w:val="0"/>
          <w:marRight w:val="0"/>
          <w:marTop w:val="0"/>
          <w:marBottom w:val="0"/>
          <w:divBdr>
            <w:top w:val="none" w:sz="0" w:space="0" w:color="auto"/>
            <w:left w:val="none" w:sz="0" w:space="0" w:color="auto"/>
            <w:bottom w:val="none" w:sz="0" w:space="0" w:color="auto"/>
            <w:right w:val="none" w:sz="0" w:space="0" w:color="auto"/>
          </w:divBdr>
        </w:div>
        <w:div w:id="1064764160">
          <w:marLeft w:val="0"/>
          <w:marRight w:val="0"/>
          <w:marTop w:val="0"/>
          <w:marBottom w:val="0"/>
          <w:divBdr>
            <w:top w:val="none" w:sz="0" w:space="0" w:color="auto"/>
            <w:left w:val="none" w:sz="0" w:space="0" w:color="auto"/>
            <w:bottom w:val="none" w:sz="0" w:space="0" w:color="auto"/>
            <w:right w:val="none" w:sz="0" w:space="0" w:color="auto"/>
          </w:divBdr>
        </w:div>
      </w:divsChild>
    </w:div>
    <w:div w:id="810102483">
      <w:bodyDiv w:val="1"/>
      <w:marLeft w:val="0"/>
      <w:marRight w:val="0"/>
      <w:marTop w:val="0"/>
      <w:marBottom w:val="0"/>
      <w:divBdr>
        <w:top w:val="none" w:sz="0" w:space="0" w:color="auto"/>
        <w:left w:val="none" w:sz="0" w:space="0" w:color="auto"/>
        <w:bottom w:val="none" w:sz="0" w:space="0" w:color="auto"/>
        <w:right w:val="none" w:sz="0" w:space="0" w:color="auto"/>
      </w:divBdr>
    </w:div>
    <w:div w:id="833758988">
      <w:bodyDiv w:val="1"/>
      <w:marLeft w:val="0"/>
      <w:marRight w:val="0"/>
      <w:marTop w:val="0"/>
      <w:marBottom w:val="0"/>
      <w:divBdr>
        <w:top w:val="none" w:sz="0" w:space="0" w:color="auto"/>
        <w:left w:val="none" w:sz="0" w:space="0" w:color="auto"/>
        <w:bottom w:val="none" w:sz="0" w:space="0" w:color="auto"/>
        <w:right w:val="none" w:sz="0" w:space="0" w:color="auto"/>
      </w:divBdr>
    </w:div>
    <w:div w:id="835925533">
      <w:bodyDiv w:val="1"/>
      <w:marLeft w:val="0"/>
      <w:marRight w:val="0"/>
      <w:marTop w:val="0"/>
      <w:marBottom w:val="0"/>
      <w:divBdr>
        <w:top w:val="none" w:sz="0" w:space="0" w:color="auto"/>
        <w:left w:val="none" w:sz="0" w:space="0" w:color="auto"/>
        <w:bottom w:val="none" w:sz="0" w:space="0" w:color="auto"/>
        <w:right w:val="none" w:sz="0" w:space="0" w:color="auto"/>
      </w:divBdr>
    </w:div>
    <w:div w:id="849567697">
      <w:bodyDiv w:val="1"/>
      <w:marLeft w:val="0"/>
      <w:marRight w:val="0"/>
      <w:marTop w:val="0"/>
      <w:marBottom w:val="0"/>
      <w:divBdr>
        <w:top w:val="none" w:sz="0" w:space="0" w:color="auto"/>
        <w:left w:val="none" w:sz="0" w:space="0" w:color="auto"/>
        <w:bottom w:val="none" w:sz="0" w:space="0" w:color="auto"/>
        <w:right w:val="none" w:sz="0" w:space="0" w:color="auto"/>
      </w:divBdr>
    </w:div>
    <w:div w:id="1016885297">
      <w:bodyDiv w:val="1"/>
      <w:marLeft w:val="0"/>
      <w:marRight w:val="0"/>
      <w:marTop w:val="0"/>
      <w:marBottom w:val="0"/>
      <w:divBdr>
        <w:top w:val="none" w:sz="0" w:space="0" w:color="auto"/>
        <w:left w:val="none" w:sz="0" w:space="0" w:color="auto"/>
        <w:bottom w:val="none" w:sz="0" w:space="0" w:color="auto"/>
        <w:right w:val="none" w:sz="0" w:space="0" w:color="auto"/>
      </w:divBdr>
    </w:div>
    <w:div w:id="1025591518">
      <w:bodyDiv w:val="1"/>
      <w:marLeft w:val="0"/>
      <w:marRight w:val="0"/>
      <w:marTop w:val="0"/>
      <w:marBottom w:val="0"/>
      <w:divBdr>
        <w:top w:val="none" w:sz="0" w:space="0" w:color="auto"/>
        <w:left w:val="none" w:sz="0" w:space="0" w:color="auto"/>
        <w:bottom w:val="none" w:sz="0" w:space="0" w:color="auto"/>
        <w:right w:val="none" w:sz="0" w:space="0" w:color="auto"/>
      </w:divBdr>
    </w:div>
    <w:div w:id="1065488317">
      <w:bodyDiv w:val="1"/>
      <w:marLeft w:val="0"/>
      <w:marRight w:val="0"/>
      <w:marTop w:val="0"/>
      <w:marBottom w:val="0"/>
      <w:divBdr>
        <w:top w:val="none" w:sz="0" w:space="0" w:color="auto"/>
        <w:left w:val="none" w:sz="0" w:space="0" w:color="auto"/>
        <w:bottom w:val="none" w:sz="0" w:space="0" w:color="auto"/>
        <w:right w:val="none" w:sz="0" w:space="0" w:color="auto"/>
      </w:divBdr>
    </w:div>
    <w:div w:id="1094781716">
      <w:bodyDiv w:val="1"/>
      <w:marLeft w:val="0"/>
      <w:marRight w:val="0"/>
      <w:marTop w:val="0"/>
      <w:marBottom w:val="0"/>
      <w:divBdr>
        <w:top w:val="none" w:sz="0" w:space="0" w:color="auto"/>
        <w:left w:val="none" w:sz="0" w:space="0" w:color="auto"/>
        <w:bottom w:val="none" w:sz="0" w:space="0" w:color="auto"/>
        <w:right w:val="none" w:sz="0" w:space="0" w:color="auto"/>
      </w:divBdr>
    </w:div>
    <w:div w:id="1148353184">
      <w:bodyDiv w:val="1"/>
      <w:marLeft w:val="0"/>
      <w:marRight w:val="0"/>
      <w:marTop w:val="0"/>
      <w:marBottom w:val="0"/>
      <w:divBdr>
        <w:top w:val="none" w:sz="0" w:space="0" w:color="auto"/>
        <w:left w:val="none" w:sz="0" w:space="0" w:color="auto"/>
        <w:bottom w:val="none" w:sz="0" w:space="0" w:color="auto"/>
        <w:right w:val="none" w:sz="0" w:space="0" w:color="auto"/>
      </w:divBdr>
    </w:div>
    <w:div w:id="1155874016">
      <w:bodyDiv w:val="1"/>
      <w:marLeft w:val="0"/>
      <w:marRight w:val="0"/>
      <w:marTop w:val="0"/>
      <w:marBottom w:val="0"/>
      <w:divBdr>
        <w:top w:val="none" w:sz="0" w:space="0" w:color="auto"/>
        <w:left w:val="none" w:sz="0" w:space="0" w:color="auto"/>
        <w:bottom w:val="none" w:sz="0" w:space="0" w:color="auto"/>
        <w:right w:val="none" w:sz="0" w:space="0" w:color="auto"/>
      </w:divBdr>
      <w:divsChild>
        <w:div w:id="101996642">
          <w:marLeft w:val="0"/>
          <w:marRight w:val="0"/>
          <w:marTop w:val="0"/>
          <w:marBottom w:val="0"/>
          <w:divBdr>
            <w:top w:val="none" w:sz="0" w:space="0" w:color="auto"/>
            <w:left w:val="none" w:sz="0" w:space="0" w:color="auto"/>
            <w:bottom w:val="none" w:sz="0" w:space="0" w:color="auto"/>
            <w:right w:val="none" w:sz="0" w:space="0" w:color="auto"/>
          </w:divBdr>
        </w:div>
        <w:div w:id="224802387">
          <w:marLeft w:val="0"/>
          <w:marRight w:val="0"/>
          <w:marTop w:val="0"/>
          <w:marBottom w:val="0"/>
          <w:divBdr>
            <w:top w:val="none" w:sz="0" w:space="0" w:color="auto"/>
            <w:left w:val="none" w:sz="0" w:space="0" w:color="auto"/>
            <w:bottom w:val="none" w:sz="0" w:space="0" w:color="auto"/>
            <w:right w:val="none" w:sz="0" w:space="0" w:color="auto"/>
          </w:divBdr>
        </w:div>
        <w:div w:id="565184589">
          <w:marLeft w:val="0"/>
          <w:marRight w:val="0"/>
          <w:marTop w:val="0"/>
          <w:marBottom w:val="0"/>
          <w:divBdr>
            <w:top w:val="none" w:sz="0" w:space="0" w:color="auto"/>
            <w:left w:val="none" w:sz="0" w:space="0" w:color="auto"/>
            <w:bottom w:val="none" w:sz="0" w:space="0" w:color="auto"/>
            <w:right w:val="none" w:sz="0" w:space="0" w:color="auto"/>
          </w:divBdr>
        </w:div>
        <w:div w:id="804784597">
          <w:marLeft w:val="0"/>
          <w:marRight w:val="0"/>
          <w:marTop w:val="0"/>
          <w:marBottom w:val="0"/>
          <w:divBdr>
            <w:top w:val="none" w:sz="0" w:space="0" w:color="auto"/>
            <w:left w:val="none" w:sz="0" w:space="0" w:color="auto"/>
            <w:bottom w:val="none" w:sz="0" w:space="0" w:color="auto"/>
            <w:right w:val="none" w:sz="0" w:space="0" w:color="auto"/>
          </w:divBdr>
        </w:div>
        <w:div w:id="1231963347">
          <w:marLeft w:val="0"/>
          <w:marRight w:val="0"/>
          <w:marTop w:val="0"/>
          <w:marBottom w:val="0"/>
          <w:divBdr>
            <w:top w:val="none" w:sz="0" w:space="0" w:color="auto"/>
            <w:left w:val="none" w:sz="0" w:space="0" w:color="auto"/>
            <w:bottom w:val="none" w:sz="0" w:space="0" w:color="auto"/>
            <w:right w:val="none" w:sz="0" w:space="0" w:color="auto"/>
          </w:divBdr>
        </w:div>
        <w:div w:id="1368094522">
          <w:marLeft w:val="0"/>
          <w:marRight w:val="0"/>
          <w:marTop w:val="0"/>
          <w:marBottom w:val="0"/>
          <w:divBdr>
            <w:top w:val="none" w:sz="0" w:space="0" w:color="auto"/>
            <w:left w:val="none" w:sz="0" w:space="0" w:color="auto"/>
            <w:bottom w:val="none" w:sz="0" w:space="0" w:color="auto"/>
            <w:right w:val="none" w:sz="0" w:space="0" w:color="auto"/>
          </w:divBdr>
        </w:div>
        <w:div w:id="1494418884">
          <w:marLeft w:val="0"/>
          <w:marRight w:val="0"/>
          <w:marTop w:val="0"/>
          <w:marBottom w:val="0"/>
          <w:divBdr>
            <w:top w:val="none" w:sz="0" w:space="0" w:color="auto"/>
            <w:left w:val="none" w:sz="0" w:space="0" w:color="auto"/>
            <w:bottom w:val="none" w:sz="0" w:space="0" w:color="auto"/>
            <w:right w:val="none" w:sz="0" w:space="0" w:color="auto"/>
          </w:divBdr>
        </w:div>
        <w:div w:id="1608197572">
          <w:marLeft w:val="0"/>
          <w:marRight w:val="0"/>
          <w:marTop w:val="0"/>
          <w:marBottom w:val="0"/>
          <w:divBdr>
            <w:top w:val="none" w:sz="0" w:space="0" w:color="auto"/>
            <w:left w:val="none" w:sz="0" w:space="0" w:color="auto"/>
            <w:bottom w:val="none" w:sz="0" w:space="0" w:color="auto"/>
            <w:right w:val="none" w:sz="0" w:space="0" w:color="auto"/>
          </w:divBdr>
        </w:div>
        <w:div w:id="2002653397">
          <w:marLeft w:val="0"/>
          <w:marRight w:val="0"/>
          <w:marTop w:val="0"/>
          <w:marBottom w:val="0"/>
          <w:divBdr>
            <w:top w:val="none" w:sz="0" w:space="0" w:color="auto"/>
            <w:left w:val="none" w:sz="0" w:space="0" w:color="auto"/>
            <w:bottom w:val="none" w:sz="0" w:space="0" w:color="auto"/>
            <w:right w:val="none" w:sz="0" w:space="0" w:color="auto"/>
          </w:divBdr>
        </w:div>
      </w:divsChild>
    </w:div>
    <w:div w:id="1166633644">
      <w:bodyDiv w:val="1"/>
      <w:marLeft w:val="0"/>
      <w:marRight w:val="0"/>
      <w:marTop w:val="0"/>
      <w:marBottom w:val="0"/>
      <w:divBdr>
        <w:top w:val="none" w:sz="0" w:space="0" w:color="auto"/>
        <w:left w:val="none" w:sz="0" w:space="0" w:color="auto"/>
        <w:bottom w:val="none" w:sz="0" w:space="0" w:color="auto"/>
        <w:right w:val="none" w:sz="0" w:space="0" w:color="auto"/>
      </w:divBdr>
    </w:div>
    <w:div w:id="1176117362">
      <w:bodyDiv w:val="1"/>
      <w:marLeft w:val="0"/>
      <w:marRight w:val="0"/>
      <w:marTop w:val="0"/>
      <w:marBottom w:val="0"/>
      <w:divBdr>
        <w:top w:val="none" w:sz="0" w:space="0" w:color="auto"/>
        <w:left w:val="none" w:sz="0" w:space="0" w:color="auto"/>
        <w:bottom w:val="none" w:sz="0" w:space="0" w:color="auto"/>
        <w:right w:val="none" w:sz="0" w:space="0" w:color="auto"/>
      </w:divBdr>
    </w:div>
    <w:div w:id="1190416245">
      <w:bodyDiv w:val="1"/>
      <w:marLeft w:val="0"/>
      <w:marRight w:val="0"/>
      <w:marTop w:val="0"/>
      <w:marBottom w:val="0"/>
      <w:divBdr>
        <w:top w:val="none" w:sz="0" w:space="0" w:color="auto"/>
        <w:left w:val="none" w:sz="0" w:space="0" w:color="auto"/>
        <w:bottom w:val="none" w:sz="0" w:space="0" w:color="auto"/>
        <w:right w:val="none" w:sz="0" w:space="0" w:color="auto"/>
      </w:divBdr>
    </w:div>
    <w:div w:id="1204754965">
      <w:bodyDiv w:val="1"/>
      <w:marLeft w:val="0"/>
      <w:marRight w:val="0"/>
      <w:marTop w:val="0"/>
      <w:marBottom w:val="0"/>
      <w:divBdr>
        <w:top w:val="none" w:sz="0" w:space="0" w:color="auto"/>
        <w:left w:val="none" w:sz="0" w:space="0" w:color="auto"/>
        <w:bottom w:val="none" w:sz="0" w:space="0" w:color="auto"/>
        <w:right w:val="none" w:sz="0" w:space="0" w:color="auto"/>
      </w:divBdr>
    </w:div>
    <w:div w:id="1226527158">
      <w:bodyDiv w:val="1"/>
      <w:marLeft w:val="0"/>
      <w:marRight w:val="0"/>
      <w:marTop w:val="0"/>
      <w:marBottom w:val="0"/>
      <w:divBdr>
        <w:top w:val="none" w:sz="0" w:space="0" w:color="auto"/>
        <w:left w:val="none" w:sz="0" w:space="0" w:color="auto"/>
        <w:bottom w:val="none" w:sz="0" w:space="0" w:color="auto"/>
        <w:right w:val="none" w:sz="0" w:space="0" w:color="auto"/>
      </w:divBdr>
    </w:div>
    <w:div w:id="1259292283">
      <w:bodyDiv w:val="1"/>
      <w:marLeft w:val="0"/>
      <w:marRight w:val="0"/>
      <w:marTop w:val="0"/>
      <w:marBottom w:val="0"/>
      <w:divBdr>
        <w:top w:val="none" w:sz="0" w:space="0" w:color="auto"/>
        <w:left w:val="none" w:sz="0" w:space="0" w:color="auto"/>
        <w:bottom w:val="none" w:sz="0" w:space="0" w:color="auto"/>
        <w:right w:val="none" w:sz="0" w:space="0" w:color="auto"/>
      </w:divBdr>
    </w:div>
    <w:div w:id="1271625796">
      <w:bodyDiv w:val="1"/>
      <w:marLeft w:val="0"/>
      <w:marRight w:val="0"/>
      <w:marTop w:val="0"/>
      <w:marBottom w:val="0"/>
      <w:divBdr>
        <w:top w:val="none" w:sz="0" w:space="0" w:color="auto"/>
        <w:left w:val="none" w:sz="0" w:space="0" w:color="auto"/>
        <w:bottom w:val="none" w:sz="0" w:space="0" w:color="auto"/>
        <w:right w:val="none" w:sz="0" w:space="0" w:color="auto"/>
      </w:divBdr>
    </w:div>
    <w:div w:id="1279679782">
      <w:bodyDiv w:val="1"/>
      <w:marLeft w:val="0"/>
      <w:marRight w:val="0"/>
      <w:marTop w:val="0"/>
      <w:marBottom w:val="0"/>
      <w:divBdr>
        <w:top w:val="none" w:sz="0" w:space="0" w:color="auto"/>
        <w:left w:val="none" w:sz="0" w:space="0" w:color="auto"/>
        <w:bottom w:val="none" w:sz="0" w:space="0" w:color="auto"/>
        <w:right w:val="none" w:sz="0" w:space="0" w:color="auto"/>
      </w:divBdr>
    </w:div>
    <w:div w:id="1288119944">
      <w:bodyDiv w:val="1"/>
      <w:marLeft w:val="0"/>
      <w:marRight w:val="0"/>
      <w:marTop w:val="0"/>
      <w:marBottom w:val="0"/>
      <w:divBdr>
        <w:top w:val="none" w:sz="0" w:space="0" w:color="auto"/>
        <w:left w:val="none" w:sz="0" w:space="0" w:color="auto"/>
        <w:bottom w:val="none" w:sz="0" w:space="0" w:color="auto"/>
        <w:right w:val="none" w:sz="0" w:space="0" w:color="auto"/>
      </w:divBdr>
    </w:div>
    <w:div w:id="1369842293">
      <w:bodyDiv w:val="1"/>
      <w:marLeft w:val="0"/>
      <w:marRight w:val="0"/>
      <w:marTop w:val="0"/>
      <w:marBottom w:val="0"/>
      <w:divBdr>
        <w:top w:val="none" w:sz="0" w:space="0" w:color="auto"/>
        <w:left w:val="none" w:sz="0" w:space="0" w:color="auto"/>
        <w:bottom w:val="none" w:sz="0" w:space="0" w:color="auto"/>
        <w:right w:val="none" w:sz="0" w:space="0" w:color="auto"/>
      </w:divBdr>
    </w:div>
    <w:div w:id="1385332508">
      <w:bodyDiv w:val="1"/>
      <w:marLeft w:val="0"/>
      <w:marRight w:val="0"/>
      <w:marTop w:val="0"/>
      <w:marBottom w:val="0"/>
      <w:divBdr>
        <w:top w:val="none" w:sz="0" w:space="0" w:color="auto"/>
        <w:left w:val="none" w:sz="0" w:space="0" w:color="auto"/>
        <w:bottom w:val="none" w:sz="0" w:space="0" w:color="auto"/>
        <w:right w:val="none" w:sz="0" w:space="0" w:color="auto"/>
      </w:divBdr>
    </w:div>
    <w:div w:id="1391028882">
      <w:bodyDiv w:val="1"/>
      <w:marLeft w:val="0"/>
      <w:marRight w:val="0"/>
      <w:marTop w:val="0"/>
      <w:marBottom w:val="0"/>
      <w:divBdr>
        <w:top w:val="none" w:sz="0" w:space="0" w:color="auto"/>
        <w:left w:val="none" w:sz="0" w:space="0" w:color="auto"/>
        <w:bottom w:val="none" w:sz="0" w:space="0" w:color="auto"/>
        <w:right w:val="none" w:sz="0" w:space="0" w:color="auto"/>
      </w:divBdr>
    </w:div>
    <w:div w:id="1467813382">
      <w:bodyDiv w:val="1"/>
      <w:marLeft w:val="0"/>
      <w:marRight w:val="0"/>
      <w:marTop w:val="0"/>
      <w:marBottom w:val="0"/>
      <w:divBdr>
        <w:top w:val="none" w:sz="0" w:space="0" w:color="auto"/>
        <w:left w:val="none" w:sz="0" w:space="0" w:color="auto"/>
        <w:bottom w:val="none" w:sz="0" w:space="0" w:color="auto"/>
        <w:right w:val="none" w:sz="0" w:space="0" w:color="auto"/>
      </w:divBdr>
    </w:div>
    <w:div w:id="1584680054">
      <w:bodyDiv w:val="1"/>
      <w:marLeft w:val="0"/>
      <w:marRight w:val="0"/>
      <w:marTop w:val="0"/>
      <w:marBottom w:val="0"/>
      <w:divBdr>
        <w:top w:val="none" w:sz="0" w:space="0" w:color="auto"/>
        <w:left w:val="none" w:sz="0" w:space="0" w:color="auto"/>
        <w:bottom w:val="none" w:sz="0" w:space="0" w:color="auto"/>
        <w:right w:val="none" w:sz="0" w:space="0" w:color="auto"/>
      </w:divBdr>
    </w:div>
    <w:div w:id="1589078243">
      <w:bodyDiv w:val="1"/>
      <w:marLeft w:val="0"/>
      <w:marRight w:val="0"/>
      <w:marTop w:val="0"/>
      <w:marBottom w:val="0"/>
      <w:divBdr>
        <w:top w:val="none" w:sz="0" w:space="0" w:color="auto"/>
        <w:left w:val="none" w:sz="0" w:space="0" w:color="auto"/>
        <w:bottom w:val="none" w:sz="0" w:space="0" w:color="auto"/>
        <w:right w:val="none" w:sz="0" w:space="0" w:color="auto"/>
      </w:divBdr>
    </w:div>
    <w:div w:id="1617567500">
      <w:bodyDiv w:val="1"/>
      <w:marLeft w:val="0"/>
      <w:marRight w:val="0"/>
      <w:marTop w:val="0"/>
      <w:marBottom w:val="0"/>
      <w:divBdr>
        <w:top w:val="none" w:sz="0" w:space="0" w:color="auto"/>
        <w:left w:val="none" w:sz="0" w:space="0" w:color="auto"/>
        <w:bottom w:val="none" w:sz="0" w:space="0" w:color="auto"/>
        <w:right w:val="none" w:sz="0" w:space="0" w:color="auto"/>
      </w:divBdr>
    </w:div>
    <w:div w:id="1715887483">
      <w:bodyDiv w:val="1"/>
      <w:marLeft w:val="0"/>
      <w:marRight w:val="0"/>
      <w:marTop w:val="0"/>
      <w:marBottom w:val="0"/>
      <w:divBdr>
        <w:top w:val="none" w:sz="0" w:space="0" w:color="auto"/>
        <w:left w:val="none" w:sz="0" w:space="0" w:color="auto"/>
        <w:bottom w:val="none" w:sz="0" w:space="0" w:color="auto"/>
        <w:right w:val="none" w:sz="0" w:space="0" w:color="auto"/>
      </w:divBdr>
    </w:div>
    <w:div w:id="1774085645">
      <w:bodyDiv w:val="1"/>
      <w:marLeft w:val="0"/>
      <w:marRight w:val="0"/>
      <w:marTop w:val="0"/>
      <w:marBottom w:val="0"/>
      <w:divBdr>
        <w:top w:val="none" w:sz="0" w:space="0" w:color="auto"/>
        <w:left w:val="none" w:sz="0" w:space="0" w:color="auto"/>
        <w:bottom w:val="none" w:sz="0" w:space="0" w:color="auto"/>
        <w:right w:val="none" w:sz="0" w:space="0" w:color="auto"/>
      </w:divBdr>
    </w:div>
    <w:div w:id="1789932486">
      <w:bodyDiv w:val="1"/>
      <w:marLeft w:val="0"/>
      <w:marRight w:val="0"/>
      <w:marTop w:val="0"/>
      <w:marBottom w:val="0"/>
      <w:divBdr>
        <w:top w:val="none" w:sz="0" w:space="0" w:color="auto"/>
        <w:left w:val="none" w:sz="0" w:space="0" w:color="auto"/>
        <w:bottom w:val="none" w:sz="0" w:space="0" w:color="auto"/>
        <w:right w:val="none" w:sz="0" w:space="0" w:color="auto"/>
      </w:divBdr>
      <w:divsChild>
        <w:div w:id="614676383">
          <w:marLeft w:val="0"/>
          <w:marRight w:val="0"/>
          <w:marTop w:val="90"/>
          <w:marBottom w:val="270"/>
          <w:divBdr>
            <w:top w:val="none" w:sz="0" w:space="0" w:color="auto"/>
            <w:left w:val="none" w:sz="0" w:space="0" w:color="auto"/>
            <w:bottom w:val="none" w:sz="0" w:space="0" w:color="auto"/>
            <w:right w:val="none" w:sz="0" w:space="0" w:color="auto"/>
          </w:divBdr>
        </w:div>
      </w:divsChild>
    </w:div>
    <w:div w:id="1816993384">
      <w:bodyDiv w:val="1"/>
      <w:marLeft w:val="0"/>
      <w:marRight w:val="0"/>
      <w:marTop w:val="0"/>
      <w:marBottom w:val="0"/>
      <w:divBdr>
        <w:top w:val="none" w:sz="0" w:space="0" w:color="auto"/>
        <w:left w:val="none" w:sz="0" w:space="0" w:color="auto"/>
        <w:bottom w:val="none" w:sz="0" w:space="0" w:color="auto"/>
        <w:right w:val="none" w:sz="0" w:space="0" w:color="auto"/>
      </w:divBdr>
    </w:div>
    <w:div w:id="1859613361">
      <w:bodyDiv w:val="1"/>
      <w:marLeft w:val="0"/>
      <w:marRight w:val="0"/>
      <w:marTop w:val="0"/>
      <w:marBottom w:val="0"/>
      <w:divBdr>
        <w:top w:val="none" w:sz="0" w:space="0" w:color="auto"/>
        <w:left w:val="none" w:sz="0" w:space="0" w:color="auto"/>
        <w:bottom w:val="none" w:sz="0" w:space="0" w:color="auto"/>
        <w:right w:val="none" w:sz="0" w:space="0" w:color="auto"/>
      </w:divBdr>
      <w:divsChild>
        <w:div w:id="498040787">
          <w:marLeft w:val="0"/>
          <w:marRight w:val="0"/>
          <w:marTop w:val="0"/>
          <w:marBottom w:val="0"/>
          <w:divBdr>
            <w:top w:val="none" w:sz="0" w:space="0" w:color="auto"/>
            <w:left w:val="none" w:sz="0" w:space="0" w:color="auto"/>
            <w:bottom w:val="none" w:sz="0" w:space="0" w:color="auto"/>
            <w:right w:val="none" w:sz="0" w:space="0" w:color="auto"/>
          </w:divBdr>
        </w:div>
      </w:divsChild>
    </w:div>
    <w:div w:id="1881168860">
      <w:bodyDiv w:val="1"/>
      <w:marLeft w:val="0"/>
      <w:marRight w:val="0"/>
      <w:marTop w:val="0"/>
      <w:marBottom w:val="0"/>
      <w:divBdr>
        <w:top w:val="none" w:sz="0" w:space="0" w:color="auto"/>
        <w:left w:val="none" w:sz="0" w:space="0" w:color="auto"/>
        <w:bottom w:val="none" w:sz="0" w:space="0" w:color="auto"/>
        <w:right w:val="none" w:sz="0" w:space="0" w:color="auto"/>
      </w:divBdr>
    </w:div>
    <w:div w:id="1894851904">
      <w:bodyDiv w:val="1"/>
      <w:marLeft w:val="0"/>
      <w:marRight w:val="0"/>
      <w:marTop w:val="0"/>
      <w:marBottom w:val="0"/>
      <w:divBdr>
        <w:top w:val="none" w:sz="0" w:space="0" w:color="auto"/>
        <w:left w:val="none" w:sz="0" w:space="0" w:color="auto"/>
        <w:bottom w:val="none" w:sz="0" w:space="0" w:color="auto"/>
        <w:right w:val="none" w:sz="0" w:space="0" w:color="auto"/>
      </w:divBdr>
    </w:div>
    <w:div w:id="1964648722">
      <w:bodyDiv w:val="1"/>
      <w:marLeft w:val="0"/>
      <w:marRight w:val="0"/>
      <w:marTop w:val="0"/>
      <w:marBottom w:val="0"/>
      <w:divBdr>
        <w:top w:val="none" w:sz="0" w:space="0" w:color="auto"/>
        <w:left w:val="none" w:sz="0" w:space="0" w:color="auto"/>
        <w:bottom w:val="none" w:sz="0" w:space="0" w:color="auto"/>
        <w:right w:val="none" w:sz="0" w:space="0" w:color="auto"/>
      </w:divBdr>
      <w:divsChild>
        <w:div w:id="1464150572">
          <w:marLeft w:val="0"/>
          <w:marRight w:val="0"/>
          <w:marTop w:val="0"/>
          <w:marBottom w:val="0"/>
          <w:divBdr>
            <w:top w:val="none" w:sz="0" w:space="0" w:color="auto"/>
            <w:left w:val="none" w:sz="0" w:space="0" w:color="auto"/>
            <w:bottom w:val="none" w:sz="0" w:space="0" w:color="auto"/>
            <w:right w:val="none" w:sz="0" w:space="0" w:color="auto"/>
          </w:divBdr>
          <w:divsChild>
            <w:div w:id="432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07369">
      <w:bodyDiv w:val="1"/>
      <w:marLeft w:val="0"/>
      <w:marRight w:val="0"/>
      <w:marTop w:val="0"/>
      <w:marBottom w:val="0"/>
      <w:divBdr>
        <w:top w:val="none" w:sz="0" w:space="0" w:color="auto"/>
        <w:left w:val="none" w:sz="0" w:space="0" w:color="auto"/>
        <w:bottom w:val="none" w:sz="0" w:space="0" w:color="auto"/>
        <w:right w:val="none" w:sz="0" w:space="0" w:color="auto"/>
      </w:divBdr>
    </w:div>
    <w:div w:id="2013946287">
      <w:bodyDiv w:val="1"/>
      <w:marLeft w:val="0"/>
      <w:marRight w:val="0"/>
      <w:marTop w:val="0"/>
      <w:marBottom w:val="0"/>
      <w:divBdr>
        <w:top w:val="none" w:sz="0" w:space="0" w:color="auto"/>
        <w:left w:val="none" w:sz="0" w:space="0" w:color="auto"/>
        <w:bottom w:val="none" w:sz="0" w:space="0" w:color="auto"/>
        <w:right w:val="none" w:sz="0" w:space="0" w:color="auto"/>
      </w:divBdr>
    </w:div>
    <w:div w:id="2021858194">
      <w:bodyDiv w:val="1"/>
      <w:marLeft w:val="0"/>
      <w:marRight w:val="0"/>
      <w:marTop w:val="0"/>
      <w:marBottom w:val="0"/>
      <w:divBdr>
        <w:top w:val="none" w:sz="0" w:space="0" w:color="auto"/>
        <w:left w:val="none" w:sz="0" w:space="0" w:color="auto"/>
        <w:bottom w:val="none" w:sz="0" w:space="0" w:color="auto"/>
        <w:right w:val="none" w:sz="0" w:space="0" w:color="auto"/>
      </w:divBdr>
    </w:div>
    <w:div w:id="2098745786">
      <w:bodyDiv w:val="1"/>
      <w:marLeft w:val="0"/>
      <w:marRight w:val="0"/>
      <w:marTop w:val="0"/>
      <w:marBottom w:val="0"/>
      <w:divBdr>
        <w:top w:val="none" w:sz="0" w:space="0" w:color="auto"/>
        <w:left w:val="none" w:sz="0" w:space="0" w:color="auto"/>
        <w:bottom w:val="none" w:sz="0" w:space="0" w:color="auto"/>
        <w:right w:val="none" w:sz="0" w:space="0" w:color="auto"/>
      </w:divBdr>
    </w:div>
    <w:div w:id="210491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gland" TargetMode="External"/><Relationship Id="rId13" Type="http://schemas.openxmlformats.org/officeDocument/2006/relationships/hyperlink" Target="http://www.hefce.ac.uk/whatwedo/crosscutting/sivs/mfl/" TargetMode="External"/><Relationship Id="rId18" Type="http://schemas.openxmlformats.org/officeDocument/2006/relationships/hyperlink" Target="http://home.deewr.gov.au/Budget/documents/TransformingAusHigherED.pdf" TargetMode="External"/><Relationship Id="rId26" Type="http://schemas.openxmlformats.org/officeDocument/2006/relationships/hyperlink" Target="http://heqco.ca/en-CA/About%20Us/policyadvice/Pages/smas.aspx" TargetMode="External"/><Relationship Id="rId39" Type="http://schemas.openxmlformats.org/officeDocument/2006/relationships/hyperlink" Target="http://heqco.ca/en-ca/research/research%20publications/Pages/Summary.aspx?link=62&amp;title=The%20Benefits%20of%20Greater%20Differentiation%20of%20Ontario%E2%80%99s%20University%20Sector" TargetMode="External"/><Relationship Id="rId3" Type="http://schemas.openxmlformats.org/officeDocument/2006/relationships/styles" Target="styles.xml"/><Relationship Id="rId21" Type="http://schemas.openxmlformats.org/officeDocument/2006/relationships/hyperlink" Target="http://heqco.ca/en-CA/Research/At_Issue_Papers/Pages/Summary.aspx?link=13" TargetMode="External"/><Relationship Id="rId34" Type="http://schemas.openxmlformats.org/officeDocument/2006/relationships/hyperlink" Target="http://www.oecd.org/edu/eag.ht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ministers/minister-of-state-universities-and-science-department-for-business-innovation-and-skills" TargetMode="External"/><Relationship Id="rId17" Type="http://schemas.openxmlformats.org/officeDocument/2006/relationships/hyperlink" Target="https://www.open.ac.uk/cheri/documents/ten-years-on.pdf" TargetMode="External"/><Relationship Id="rId25" Type="http://schemas.openxmlformats.org/officeDocument/2006/relationships/hyperlink" Target="http://heqco.ca/SiteCollectionDocuments/College_Differentiation_Report.pdf" TargetMode="External"/><Relationship Id="rId33" Type="http://schemas.openxmlformats.org/officeDocument/2006/relationships/hyperlink" Target="http://grattan.edu.au/publications/reports/post/keep-the-caps-off/" TargetMode="External"/><Relationship Id="rId38" Type="http://schemas.openxmlformats.org/officeDocument/2006/relationships/hyperlink" Target="http://www.eric.ed.gov/ERICWebPortal/search/detailmini.jsp?_nfpb=true&amp;_&amp;ERICExtSearch_SearchValue_0=ED091983&amp;ERICExtSearch_SearchType_0=no&amp;accno=ED091983" TargetMode="External"/><Relationship Id="rId2" Type="http://schemas.openxmlformats.org/officeDocument/2006/relationships/numbering" Target="numbering.xml"/><Relationship Id="rId16" Type="http://schemas.openxmlformats.org/officeDocument/2006/relationships/hyperlink" Target="http://rmit.academia.edu/GavinMoodie" TargetMode="External"/><Relationship Id="rId20" Type="http://schemas.openxmlformats.org/officeDocument/2006/relationships/hyperlink" Target="http://www.coag.gov.au/node/292" TargetMode="External"/><Relationship Id="rId29" Type="http://schemas.openxmlformats.org/officeDocument/2006/relationships/hyperlink" Target="http://www.mqup.ca/shanahan--theresa-contributor-117800.ph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ales" TargetMode="External"/><Relationship Id="rId24" Type="http://schemas.openxmlformats.org/officeDocument/2006/relationships/hyperlink" Target="http://www.deewr.gov.au/Ministers/Gillard/Media/Speeches/Pages/Article_090304_155721.aspx" TargetMode="External"/><Relationship Id="rId32" Type="http://schemas.openxmlformats.org/officeDocument/2006/relationships/hyperlink" Target="http://www.tcu.gov.on.ca/pepg/publications/PolicyFramework_PostSec.pdf" TargetMode="External"/><Relationship Id="rId37" Type="http://schemas.openxmlformats.org/officeDocument/2006/relationships/hyperlink" Target="http://www.heqco.ca/en-CA/Research/Research%20Publications/Pages/Summary.aspx?link=91" TargetMode="External"/><Relationship Id="rId40" Type="http://schemas.openxmlformats.org/officeDocument/2006/relationships/hyperlink" Target="http://www.heqco.ca/en-CA/Research/Research%20Publications/Pages/Summary.aspx?link=10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organisations/department-for-business-innovation-skills" TargetMode="External"/><Relationship Id="rId23" Type="http://schemas.openxmlformats.org/officeDocument/2006/relationships/hyperlink" Target="https://www.gov.uk/government/organisations/department-for-business-innovation-skills" TargetMode="External"/><Relationship Id="rId28" Type="http://schemas.openxmlformats.org/officeDocument/2006/relationships/hyperlink" Target="http://www.mqup.ca/trilokekar--roopa-contributor-117799.php" TargetMode="External"/><Relationship Id="rId36" Type="http://schemas.openxmlformats.org/officeDocument/2006/relationships/hyperlink" Target="http://www.hepi.ac.uk/466-2246/The-cost-of-the-Government's-reforms-of-the-financing-of-higher-education---an-update.html" TargetMode="External"/><Relationship Id="rId10" Type="http://schemas.openxmlformats.org/officeDocument/2006/relationships/hyperlink" Target="https://en.wikipedia.org/wiki/Scotland" TargetMode="External"/><Relationship Id="rId19" Type="http://schemas.openxmlformats.org/officeDocument/2006/relationships/hyperlink" Target="http://www.coag.gov.au/node/281" TargetMode="External"/><Relationship Id="rId31" Type="http://schemas.openxmlformats.org/officeDocument/2006/relationships/hyperlink" Target="http://www.timeshighereducation.co.uk/news/cable-says-lines-between-fe-and-he-are-deliberately-blurred/2009235.articl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Northern_Ireland" TargetMode="External"/><Relationship Id="rId14" Type="http://schemas.openxmlformats.org/officeDocument/2006/relationships/hyperlink" Target="http://www.hefce.ac.uk/whatwedo/crosscutting/sivs/qss/" TargetMode="External"/><Relationship Id="rId22" Type="http://schemas.openxmlformats.org/officeDocument/2006/relationships/hyperlink" Target="http://www.bis.gov.uk/news/topstories/2011/Jun/he-white-paper-students-at-the-heart-of-the-system" TargetMode="External"/><Relationship Id="rId27" Type="http://schemas.openxmlformats.org/officeDocument/2006/relationships/hyperlink" Target="http://www.mqup.ca/axelrod--paul-contributor-105785.php" TargetMode="External"/><Relationship Id="rId30" Type="http://schemas.openxmlformats.org/officeDocument/2006/relationships/hyperlink" Target="http://www.mqup.ca/wellen--richard-contributor-117801.php" TargetMode="External"/><Relationship Id="rId35" Type="http://schemas.openxmlformats.org/officeDocument/2006/relationships/hyperlink" Target="http://www.tcu.gov.on.ca/eng/document/reports/postsec.pdf"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0A21-11BB-C045-B404-D526C5AA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8482</Words>
  <Characters>48349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Proposals for an individual presentation or poster should be 500-750 words in length and should include the following information even if the results, findings and/or conclusions are still preliminary at the time of submission:</vt:lpstr>
    </vt:vector>
  </TitlesOfParts>
  <Company>RMIT</Company>
  <LinksUpToDate>false</LinksUpToDate>
  <CharactersWithSpaces>56718</CharactersWithSpaces>
  <SharedDoc>false</SharedDoc>
  <HLinks>
    <vt:vector size="30" baseType="variant">
      <vt:variant>
        <vt:i4>7078006</vt:i4>
      </vt:variant>
      <vt:variant>
        <vt:i4>18</vt:i4>
      </vt:variant>
      <vt:variant>
        <vt:i4>0</vt:i4>
      </vt:variant>
      <vt:variant>
        <vt:i4>5</vt:i4>
      </vt:variant>
      <vt:variant>
        <vt:lpwstr>http://www.obhe.ac.uk/documents/view_details?id=934</vt:lpwstr>
      </vt:variant>
      <vt:variant>
        <vt:lpwstr/>
      </vt:variant>
      <vt:variant>
        <vt:i4>4587643</vt:i4>
      </vt:variant>
      <vt:variant>
        <vt:i4>15</vt:i4>
      </vt:variant>
      <vt:variant>
        <vt:i4>0</vt:i4>
      </vt:variant>
      <vt:variant>
        <vt:i4>5</vt:i4>
      </vt:variant>
      <vt:variant>
        <vt:lpwstr>http://heqco.ca/en-CA/Research/At_Issue_Papers/Pages/Summary.aspx?link=13</vt:lpwstr>
      </vt:variant>
      <vt:variant>
        <vt:lpwstr/>
      </vt:variant>
      <vt:variant>
        <vt:i4>5636195</vt:i4>
      </vt:variant>
      <vt:variant>
        <vt:i4>12</vt:i4>
      </vt:variant>
      <vt:variant>
        <vt:i4>0</vt:i4>
      </vt:variant>
      <vt:variant>
        <vt:i4>5</vt:i4>
      </vt:variant>
      <vt:variant>
        <vt:lpwstr>http://www.eric.ed.gov/ERICWebPortal/search/detailmini.jsp?_nfpb=true&amp;_&amp;ERICExtSearch_SearchValue_0=ED091983&amp;ERICExtSearch_SearchType_0=no&amp;accno=ED091983</vt:lpwstr>
      </vt:variant>
      <vt:variant>
        <vt:lpwstr/>
      </vt:variant>
      <vt:variant>
        <vt:i4>2031706</vt:i4>
      </vt:variant>
      <vt:variant>
        <vt:i4>3</vt:i4>
      </vt:variant>
      <vt:variant>
        <vt:i4>0</vt:i4>
      </vt:variant>
      <vt:variant>
        <vt:i4>5</vt:i4>
      </vt:variant>
      <vt:variant>
        <vt:lpwstr>http://www.theguardian.com/commentisfree/2013/nov/22/bis-budget-higher-education-sector-cuts</vt:lpwstr>
      </vt:variant>
      <vt:variant>
        <vt:lpwstr/>
      </vt:variant>
      <vt:variant>
        <vt:i4>7864445</vt:i4>
      </vt:variant>
      <vt:variant>
        <vt:i4>0</vt:i4>
      </vt:variant>
      <vt:variant>
        <vt:i4>0</vt:i4>
      </vt:variant>
      <vt:variant>
        <vt:i4>5</vt:i4>
      </vt:variant>
      <vt:variant>
        <vt:lpwstr>http://www.theguardian.com/education/2013/nov/18/college-course-chaos-budget-shortfall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an individual presentation or poster should be 500-750 words in length and should include the following information even if the results, findings and/or conclusions are still preliminary at the time of submission:</dc:title>
  <dc:subject/>
  <dc:creator>Gavin Moodie</dc:creator>
  <cp:keywords/>
  <dc:description/>
  <cp:lastModifiedBy>Joseph Mior</cp:lastModifiedBy>
  <cp:revision>2</cp:revision>
  <cp:lastPrinted>2014-03-09T18:09:00Z</cp:lastPrinted>
  <dcterms:created xsi:type="dcterms:W3CDTF">2020-12-23T21:54:00Z</dcterms:created>
  <dcterms:modified xsi:type="dcterms:W3CDTF">2020-12-23T21:54:00Z</dcterms:modified>
</cp:coreProperties>
</file>